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media/image2.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ef20083658_8k.htm"/>
      <w:bookmarkStart w:id="1" w:name="ksef20083658_8k"/>
      <w:bookmarkStart w:id="2" w:name="ef20083658_8k.htm"/>
      <w:bookmarkStart w:id="3" w:name="ksef20083658_8k"/>
      <w:bookmarkEnd w:id="2"/>
      <w:bookmarkEnd w:id="3"/>
    </w:p>
    <w:p>
      <w:pPr>
        <w:pStyle w:val="TextBody"/>
        <w:bidi w:val="0"/>
        <w:spacing w:before="0" w:after="0"/>
        <w:ind w:left="0" w:right="0" w:hanging="144"/>
        <w:jc w:val="center"/>
        <w:rPr>
          <w:rFonts w:ascii="Times New Roman" w:hAnsi="Times New Roman"/>
          <w:sz w:val="28"/>
        </w:rPr>
      </w:pPr>
      <w:r>
        <w:rPr>
          <w:rFonts w:ascii="Times New Roman" w:hAnsi="Times New Roman"/>
          <w:b/>
          <w:sz w:val="28"/>
        </w:rPr>
        <w:t>UNITED STATES</w:t>
      </w:r>
      <w:r>
        <w:rPr>
          <w:rFonts w:ascii="Times New Roman" w:hAnsi="Times New Roman"/>
          <w:sz w:val="28"/>
        </w:rPr>
        <w:t xml:space="preserve"> </w:t>
      </w:r>
    </w:p>
    <w:p>
      <w:pPr>
        <w:pStyle w:val="TextBody"/>
        <w:bidi w:val="0"/>
        <w:spacing w:before="0" w:after="0"/>
        <w:jc w:val="center"/>
        <w:rPr>
          <w:rFonts w:ascii="Times New Roman" w:hAnsi="Times New Roman"/>
          <w:sz w:val="28"/>
        </w:rPr>
      </w:pPr>
      <w:r>
        <w:rPr>
          <w:rFonts w:ascii="Times New Roman" w:hAnsi="Times New Roman"/>
          <w:b/>
          <w:sz w:val="28"/>
        </w:rPr>
        <w:t>SECURITIES AND EXCHANGE COMMISSION</w:t>
      </w:r>
      <w:r>
        <w:rPr>
          <w:rFonts w:ascii="Times New Roman" w:hAnsi="Times New Roman"/>
          <w:sz w:val="28"/>
        </w:rPr>
        <w:t xml:space="preserve"> </w:t>
      </w:r>
    </w:p>
    <w:p>
      <w:pPr>
        <w:pStyle w:val="TextBody"/>
        <w:bidi w:val="0"/>
        <w:spacing w:before="0" w:after="0"/>
        <w:jc w:val="center"/>
        <w:rPr>
          <w:rFonts w:ascii="Times New Roman" w:hAnsi="Times New Roman"/>
          <w:sz w:val="24"/>
        </w:rPr>
      </w:pPr>
      <w:r>
        <w:rPr>
          <w:rFonts w:ascii="Times New Roman" w:hAnsi="Times New Roman"/>
          <w:b/>
          <w:caps/>
          <w:sz w:val="24"/>
        </w:rPr>
        <w:t>Washington, DC 20549</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ind w:left="144" w:right="0" w:hanging="0"/>
        <w:jc w:val="center"/>
        <w:rPr>
          <w:rFonts w:ascii="Times New Roman" w:hAnsi="Times New Roman"/>
          <w:sz w:val="36"/>
        </w:rPr>
      </w:pPr>
      <w:r>
        <w:rPr>
          <w:rFonts w:ascii="Times New Roman" w:hAnsi="Times New Roman"/>
          <w:b/>
          <w:sz w:val="36"/>
        </w:rPr>
        <w:t>FORM 8</w:t>
        <w:noBreakHyphen/>
        <w:t>K</w:t>
      </w:r>
      <w:r>
        <w:rPr>
          <w:rFonts w:ascii="Times New Roman" w:hAnsi="Times New Roman"/>
          <w:sz w:val="36"/>
        </w:rPr>
        <w:t xml:space="preserve"> </w:t>
      </w:r>
    </w:p>
    <w:p>
      <w:pPr>
        <w:pStyle w:val="TextBody"/>
        <w:bidi w:val="0"/>
        <w:spacing w:before="0" w:after="0"/>
        <w:jc w:val="both"/>
        <w:rPr/>
      </w:pPr>
      <w:r>
        <w:rPr/>
        <w:t xml:space="preserve">  </w:t>
      </w:r>
    </w:p>
    <w:p>
      <w:pPr>
        <w:pStyle w:val="TextBody"/>
        <w:bidi w:val="0"/>
        <w:spacing w:before="0" w:after="0"/>
        <w:jc w:val="center"/>
        <w:rPr>
          <w:rFonts w:ascii="Times New Roman" w:hAnsi="Times New Roman"/>
          <w:sz w:val="20"/>
        </w:rPr>
      </w:pPr>
      <w:r>
        <w:rPr>
          <w:rFonts w:ascii="Times New Roman" w:hAnsi="Times New Roman"/>
          <w:b/>
          <w:caps/>
          <w:sz w:val="20"/>
        </w:rPr>
        <w:t>CURRENT REPORT</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caps/>
          <w:sz w:val="20"/>
        </w:rPr>
        <w:t>P</w:t>
      </w:r>
      <w:r>
        <w:rPr>
          <w:rFonts w:ascii="Times New Roman" w:hAnsi="Times New Roman"/>
          <w:b/>
          <w:sz w:val="20"/>
        </w:rPr>
        <w:t xml:space="preserve">ursuant to Section 13 or 15(d) of the Securities Exchange Act of </w:t>
      </w:r>
      <w:r>
        <w:rPr>
          <w:rFonts w:ascii="Times New Roman" w:hAnsi="Times New Roman"/>
          <w:b/>
          <w:caps/>
          <w:sz w:val="20"/>
        </w:rPr>
        <w:t>1934</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0"/>
        </w:rPr>
      </w:pPr>
      <w:r>
        <w:rPr>
          <w:rFonts w:ascii="Times New Roman" w:hAnsi="Times New Roman"/>
          <w:b/>
          <w:sz w:val="20"/>
        </w:rPr>
        <w:t>Date of report: October 12, 2026</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(Date of earliest event reported) </w:t>
      </w:r>
    </w:p>
    <w:p>
      <w:pPr>
        <w:pStyle w:val="TextBody"/>
        <w:bidi w:val="0"/>
        <w:spacing w:before="0" w:after="0"/>
        <w:jc w:val="both"/>
        <w:rPr/>
      </w:pPr>
      <w:r>
        <w:rPr/>
        <w:t xml:space="preserve">  </w:t>
      </w:r>
    </w:p>
    <w:p>
      <w:pPr>
        <w:pStyle w:val="TextBody"/>
        <w:bidi w:val="0"/>
        <w:spacing w:before="0" w:after="0"/>
        <w:jc w:val="center"/>
        <w:rPr>
          <w:rFonts w:ascii="Times New Roman" w:hAnsi="Times New Roman"/>
          <w:b/>
          <w:sz w:val="48"/>
        </w:rPr>
      </w:pPr>
      <w:r>
        <w:rPr>
          <w:rFonts w:ascii="Times New Roman" w:hAnsi="Times New Roman"/>
          <w:b/>
          <w:sz w:val="48"/>
        </w:rPr>
        <w:t>Ollie’s Bargain Outlet Holdings, Inc.</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(Exact name of registrant as specified in its charter) </w:t>
      </w:r>
    </w:p>
    <w:p>
      <w:pPr>
        <w:pStyle w:val="TextBody"/>
        <w:bidi w:val="0"/>
        <w:spacing w:before="0" w:after="0"/>
        <w:jc w:val="both"/>
        <w:rPr/>
      </w:pPr>
      <w:r>
        <w:rPr/>
        <w:t xml:space="preserve">  </w:t>
      </w:r>
    </w:p>
    <w:p>
      <w:pPr>
        <w:pStyle w:val="TextBody"/>
        <w:bidi w:val="0"/>
        <w:spacing w:before="0" w:after="0"/>
        <w:ind w:left="0" w:right="0" w:hanging="720"/>
        <w:jc w:val="center"/>
        <w:rPr>
          <w:rFonts w:ascii="Times New Roman" w:hAnsi="Times New Roman"/>
          <w:sz w:val="20"/>
        </w:rPr>
      </w:pPr>
      <w:r>
        <w:rPr>
          <w:rFonts w:ascii="Times New Roman" w:hAnsi="Times New Roman"/>
          <w:b/>
          <w:sz w:val="20"/>
        </w:rPr>
        <w:t>Delaware</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(State or other jurisdiction of incorporation) </w:t>
      </w:r>
    </w:p>
    <w:p>
      <w:pPr>
        <w:pStyle w:val="TextBody"/>
        <w:bidi w:val="0"/>
        <w:spacing w:before="0" w:after="0"/>
        <w:jc w:val="left"/>
        <w:rPr/>
      </w:pPr>
      <w:r>
        <w:rPr/>
        <w:t xml:space="preserve">  </w:t>
      </w:r>
    </w:p>
    <w:tbl>
      <w:tblPr>
        <w:tblW w:w="7378" w:type="dxa"/>
        <w:jc w:val="left"/>
        <w:tblInd w:w="0" w:type="dxa"/>
        <w:tblLayout w:type="fixed"/>
        <w:tblCellMar>
          <w:top w:w="28" w:type="dxa"/>
          <w:left w:w="28" w:type="dxa"/>
          <w:bottom w:w="28" w:type="dxa"/>
          <w:right w:w="28" w:type="dxa"/>
        </w:tblCellMar>
      </w:tblPr>
      <w:tblGrid>
        <w:gridCol w:w="3841"/>
        <w:gridCol w:w="146"/>
        <w:gridCol w:w="3391"/>
      </w:tblGrid>
      <w:tr>
        <w:trPr/>
        <w:tc>
          <w:tcPr>
            <w:tcW w:w="38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391" w:type="dxa"/>
            <w:tcBorders/>
            <w:vAlign w:val="center"/>
          </w:tcPr>
          <w:p>
            <w:pPr>
              <w:pStyle w:val="TableContents"/>
              <w:bidi w:val="0"/>
              <w:spacing w:before="0" w:after="283"/>
              <w:jc w:val="left"/>
              <w:rPr/>
            </w:pPr>
            <w:r>
              <w:rPr/>
              <w:t> </w:t>
            </w:r>
          </w:p>
        </w:tc>
      </w:tr>
      <w:tr>
        <w:trPr/>
        <w:tc>
          <w:tcPr>
            <w:tcW w:w="3841" w:type="dxa"/>
            <w:tcBorders/>
            <w:tcMar>
              <w:top w:w="0" w:type="dxa"/>
              <w:left w:w="0" w:type="dxa"/>
              <w:bottom w:w="0" w:type="dxa"/>
              <w:right w:w="0" w:type="dxa"/>
            </w:tcMar>
            <w:vAlign w:val="center"/>
          </w:tcPr>
          <w:p>
            <w:pPr>
              <w:pStyle w:val="TableContents"/>
              <w:bidi w:val="0"/>
              <w:spacing w:before="0" w:after="283"/>
              <w:jc w:val="center"/>
              <w:rPr/>
            </w:pPr>
            <w:r>
              <w:rPr>
                <w:b/>
              </w:rPr>
              <w:t>001-37501</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91" w:type="dxa"/>
            <w:tcBorders/>
            <w:tcMar>
              <w:top w:w="0" w:type="dxa"/>
              <w:left w:w="0" w:type="dxa"/>
              <w:bottom w:w="0" w:type="dxa"/>
              <w:right w:w="0" w:type="dxa"/>
            </w:tcMar>
            <w:vAlign w:val="center"/>
          </w:tcPr>
          <w:p>
            <w:pPr>
              <w:pStyle w:val="TableContents"/>
              <w:bidi w:val="0"/>
              <w:spacing w:before="0" w:after="283"/>
              <w:jc w:val="center"/>
              <w:rPr/>
            </w:pPr>
            <w:r>
              <w:rPr>
                <w:b/>
              </w:rPr>
              <w:t>80-0848819</w:t>
            </w:r>
            <w:r>
              <w:rPr/>
              <w:t xml:space="preserve"> </w:t>
            </w:r>
          </w:p>
        </w:tc>
      </w:tr>
      <w:tr>
        <w:trPr/>
        <w:tc>
          <w:tcPr>
            <w:tcW w:w="3841" w:type="dxa"/>
            <w:tcBorders/>
            <w:vAlign w:val="center"/>
          </w:tcPr>
          <w:p>
            <w:pPr>
              <w:pStyle w:val="TableContents"/>
              <w:bidi w:val="0"/>
              <w:spacing w:before="0" w:after="283"/>
              <w:jc w:val="center"/>
              <w:rPr>
                <w:spacing w:val="0"/>
              </w:rPr>
            </w:pPr>
            <w:r>
              <w:rPr>
                <w:spacing w:val="0"/>
              </w:rPr>
              <w:t>(Commission File Number)</w:t>
            </w:r>
          </w:p>
        </w:tc>
        <w:tc>
          <w:tcPr>
            <w:tcW w:w="146" w:type="dxa"/>
            <w:tcBorders/>
            <w:vAlign w:val="center"/>
          </w:tcPr>
          <w:p>
            <w:pPr>
              <w:pStyle w:val="TableContents"/>
              <w:bidi w:val="0"/>
              <w:spacing w:before="0" w:after="283"/>
              <w:jc w:val="left"/>
              <w:rPr/>
            </w:pPr>
            <w:r>
              <w:rPr/>
              <w:t> </w:t>
            </w:r>
          </w:p>
        </w:tc>
        <w:tc>
          <w:tcPr>
            <w:tcW w:w="3391" w:type="dxa"/>
            <w:tcBorders/>
            <w:vAlign w:val="center"/>
          </w:tcPr>
          <w:p>
            <w:pPr>
              <w:pStyle w:val="TableContents"/>
              <w:bidi w:val="0"/>
              <w:spacing w:before="0" w:after="283"/>
              <w:jc w:val="center"/>
              <w:rPr>
                <w:spacing w:val="0"/>
              </w:rPr>
            </w:pPr>
            <w:r>
              <w:rPr>
                <w:spacing w:val="0"/>
              </w:rPr>
              <w:t>(IRS Employer Identification No.)</w:t>
            </w:r>
          </w:p>
        </w:tc>
      </w:tr>
      <w:tr>
        <w:trPr/>
        <w:tc>
          <w:tcPr>
            <w:tcW w:w="384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3391" w:type="dxa"/>
            <w:tcBorders/>
            <w:vAlign w:val="center"/>
          </w:tcPr>
          <w:p>
            <w:pPr>
              <w:pStyle w:val="TableContents"/>
              <w:bidi w:val="0"/>
              <w:spacing w:before="0" w:after="283"/>
              <w:jc w:val="center"/>
              <w:rPr/>
            </w:pPr>
            <w:r>
              <w:rPr/>
              <w:t> </w:t>
            </w:r>
          </w:p>
        </w:tc>
      </w:tr>
      <w:tr>
        <w:trPr/>
        <w:tc>
          <w:tcPr>
            <w:tcW w:w="3841" w:type="dxa"/>
            <w:tcBorders/>
            <w:tcMar>
              <w:top w:w="0" w:type="dxa"/>
              <w:left w:w="0" w:type="dxa"/>
              <w:bottom w:w="0" w:type="dxa"/>
              <w:right w:w="0" w:type="dxa"/>
            </w:tcMar>
            <w:vAlign w:val="center"/>
          </w:tcPr>
          <w:p>
            <w:pPr>
              <w:pStyle w:val="TableContents"/>
              <w:bidi w:val="0"/>
              <w:spacing w:before="0" w:after="283"/>
              <w:jc w:val="center"/>
              <w:rPr/>
            </w:pPr>
            <w:r>
              <w:rPr>
                <w:b/>
              </w:rPr>
              <w:t>6295 Allentown Boulevard</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841" w:type="dxa"/>
            <w:tcBorders/>
            <w:tcMar>
              <w:top w:w="0" w:type="dxa"/>
              <w:left w:w="0" w:type="dxa"/>
              <w:bottom w:w="0" w:type="dxa"/>
              <w:right w:w="0" w:type="dxa"/>
            </w:tcMar>
            <w:vAlign w:val="center"/>
          </w:tcPr>
          <w:p>
            <w:pPr>
              <w:pStyle w:val="TableContents"/>
              <w:bidi w:val="0"/>
              <w:spacing w:before="0" w:after="283"/>
              <w:jc w:val="center"/>
              <w:rPr/>
            </w:pPr>
            <w:r>
              <w:rPr>
                <w:b/>
              </w:rPr>
              <w:t>Suite 1</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841" w:type="dxa"/>
            <w:tcBorders/>
            <w:vAlign w:val="center"/>
          </w:tcPr>
          <w:p>
            <w:pPr>
              <w:pStyle w:val="TableContents"/>
              <w:bidi w:val="0"/>
              <w:spacing w:before="0" w:after="283"/>
              <w:jc w:val="center"/>
              <w:rPr>
                <w:b/>
                <w:spacing w:val="0"/>
              </w:rPr>
            </w:pPr>
            <w:r>
              <w:rPr>
                <w:b/>
                <w:spacing w:val="0"/>
              </w:rPr>
              <w:t>Harrisburg, Pennsylvania</w:t>
            </w:r>
          </w:p>
        </w:tc>
        <w:tc>
          <w:tcPr>
            <w:tcW w:w="146" w:type="dxa"/>
            <w:tcBorders/>
            <w:vAlign w:val="center"/>
          </w:tcPr>
          <w:p>
            <w:pPr>
              <w:pStyle w:val="TableContents"/>
              <w:bidi w:val="0"/>
              <w:spacing w:before="0" w:after="283"/>
              <w:jc w:val="center"/>
              <w:rPr/>
            </w:pPr>
            <w:r>
              <w:rPr/>
              <w:t> </w:t>
            </w:r>
          </w:p>
        </w:tc>
        <w:tc>
          <w:tcPr>
            <w:tcW w:w="3391" w:type="dxa"/>
            <w:tcBorders/>
            <w:vAlign w:val="center"/>
          </w:tcPr>
          <w:p>
            <w:pPr>
              <w:pStyle w:val="TableContents"/>
              <w:bidi w:val="0"/>
              <w:spacing w:before="0" w:after="283"/>
              <w:jc w:val="center"/>
              <w:rPr>
                <w:b/>
                <w:spacing w:val="0"/>
              </w:rPr>
            </w:pPr>
            <w:r>
              <w:rPr>
                <w:b/>
                <w:spacing w:val="0"/>
              </w:rPr>
              <w:t>17112</w:t>
            </w:r>
          </w:p>
        </w:tc>
      </w:tr>
      <w:tr>
        <w:trPr/>
        <w:tc>
          <w:tcPr>
            <w:tcW w:w="3841" w:type="dxa"/>
            <w:tcBorders/>
            <w:vAlign w:val="center"/>
          </w:tcPr>
          <w:p>
            <w:pPr>
              <w:pStyle w:val="TableContents"/>
              <w:bidi w:val="0"/>
              <w:spacing w:before="0" w:after="283"/>
              <w:jc w:val="center"/>
              <w:rPr>
                <w:spacing w:val="0"/>
              </w:rPr>
            </w:pPr>
            <w:r>
              <w:rPr>
                <w:spacing w:val="0"/>
              </w:rPr>
              <w:t>(Address of principal executive offices)</w:t>
            </w:r>
          </w:p>
        </w:tc>
        <w:tc>
          <w:tcPr>
            <w:tcW w:w="146" w:type="dxa"/>
            <w:tcBorders/>
            <w:vAlign w:val="center"/>
          </w:tcPr>
          <w:p>
            <w:pPr>
              <w:pStyle w:val="TableContents"/>
              <w:bidi w:val="0"/>
              <w:spacing w:before="0" w:after="283"/>
              <w:jc w:val="center"/>
              <w:rPr/>
            </w:pPr>
            <w:r>
              <w:rPr/>
              <w:t> </w:t>
            </w:r>
          </w:p>
        </w:tc>
        <w:tc>
          <w:tcPr>
            <w:tcW w:w="3391" w:type="dxa"/>
            <w:tcBorders/>
            <w:vAlign w:val="center"/>
          </w:tcPr>
          <w:p>
            <w:pPr>
              <w:pStyle w:val="TableContents"/>
              <w:bidi w:val="0"/>
              <w:spacing w:before="0" w:after="283"/>
              <w:jc w:val="center"/>
              <w:rPr>
                <w:spacing w:val="0"/>
              </w:rPr>
            </w:pPr>
            <w:r>
              <w:rPr>
                <w:spacing w:val="0"/>
              </w:rPr>
              <w:t>(Zip Code)</w:t>
            </w:r>
          </w:p>
        </w:tc>
      </w:tr>
    </w:tbl>
    <w:p>
      <w:pPr>
        <w:pStyle w:val="TextBody"/>
        <w:bidi w:val="0"/>
        <w:spacing w:before="0" w:after="0"/>
        <w:jc w:val="center"/>
        <w:rPr>
          <w:rFonts w:ascii="Times New Roman" w:hAnsi="Times New Roman"/>
          <w:sz w:val="20"/>
        </w:rPr>
      </w:pPr>
      <w:r>
        <w:rPr>
          <w:rFonts w:ascii="Times New Roman" w:hAnsi="Times New Roman"/>
          <w:b/>
          <w:sz w:val="20"/>
        </w:rPr>
        <w:t>(717) 657-2300</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(Registrant’s telephone number, including area code) </w:t>
      </w:r>
    </w:p>
    <w:p>
      <w:pPr>
        <w:pStyle w:val="TextBody"/>
        <w:bidi w:val="0"/>
        <w:spacing w:before="0" w:after="0"/>
        <w:jc w:val="both"/>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(see General Instruction A.2. below): </w:t>
      </w:r>
    </w:p>
    <w:p>
      <w:pPr>
        <w:pStyle w:val="TextBody"/>
        <w:bidi w:val="0"/>
        <w:spacing w:before="0" w:after="0"/>
        <w:ind w:left="540" w:right="0" w:hanging="0"/>
        <w:jc w:val="both"/>
        <w:rPr/>
      </w:pPr>
      <w:r>
        <w:rPr/>
        <w:t xml:space="preserve">  </w:t>
      </w:r>
    </w:p>
    <w:p>
      <w:pPr>
        <w:pStyle w:val="TextBody"/>
        <w:bidi w:val="0"/>
        <w:spacing w:lineRule="auto" w:line="326" w:before="0" w:after="160"/>
        <w:ind w:left="0" w:right="0" w:hanging="540"/>
        <w:jc w:val="left"/>
        <w:rPr>
          <w:rFonts w:ascii="Times New Roman" w:hAnsi="Times New Roman"/>
          <w:sz w:val="20"/>
        </w:rPr>
      </w:pPr>
      <w:r>
        <w:rPr>
          <w:rFonts w:ascii="Times New Roman" w:hAnsi="Times New Roman"/>
          <w:sz w:val="20"/>
        </w:rPr>
        <w:t xml:space="preserve">Written communications pursuant to Rule 425 under the Securities Act (17 CFR 230.425) </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342900" cy="175260"/>
                <wp:effectExtent l="0" t="0" r="0" b="0"/>
                <wp:wrapSquare wrapText="right"/>
                <wp:docPr id="1" name="Frame1"/>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lineRule="auto" w:line="326" w:before="0" w:after="160"/>
        <w:ind w:left="0" w:right="0" w:hanging="540"/>
        <w:jc w:val="left"/>
        <w:rPr>
          <w:rFonts w:ascii="Times New Roman" w:hAnsi="Times New Roman"/>
          <w:sz w:val="20"/>
        </w:rPr>
      </w:pPr>
      <w:r>
        <w:rPr>
          <w:rFonts w:ascii="Times New Roman" w:hAnsi="Times New Roman"/>
          <w:sz w:val="20"/>
        </w:rPr>
        <w:t xml:space="preserve">Soliciting material pursuant to Rule 14a-12 under the Exchange Act (17 CFR 240.14a-12) </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342900" cy="175260"/>
                <wp:effectExtent l="0" t="0" r="0" b="0"/>
                <wp:wrapSquare wrapText="right"/>
                <wp:docPr id="2" name="Frame2"/>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27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lineRule="auto" w:line="326" w:before="0" w:after="160"/>
        <w:ind w:left="0" w:right="0" w:hanging="540"/>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342900" cy="175260"/>
                <wp:effectExtent l="0" t="0" r="0" b="0"/>
                <wp:wrapSquare wrapText="right"/>
                <wp:docPr id="3" name="Frame3"/>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lineRule="auto" w:line="326" w:before="0" w:after="160"/>
        <w:ind w:left="0" w:right="0" w:hanging="540"/>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342900" cy="175260"/>
                <wp:effectExtent l="0" t="0" r="0" b="0"/>
                <wp:wrapSquare wrapText="right"/>
                <wp:docPr id="4" name="Frame4"/>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27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firstLine="525"/>
        <w:jc w:val="both"/>
        <w:rPr>
          <w:rFonts w:ascii="Times New Roman" w:hAnsi="Times New Roman"/>
          <w:sz w:val="20"/>
        </w:rPr>
      </w:pPr>
      <w:r>
        <w:rPr>
          <w:rFonts w:ascii="Times New Roman" w:hAnsi="Times New Roman"/>
          <w:sz w:val="20"/>
        </w:rPr>
        <w:t xml:space="preserve">Securities registered pursuant to Section 12(b) of the Act: </w:t>
      </w:r>
    </w:p>
    <w:p>
      <w:pPr>
        <w:pStyle w:val="TextBody"/>
        <w:bidi w:val="0"/>
        <w:spacing w:before="0" w:after="0"/>
        <w:ind w:left="0" w:right="0" w:hanging="0"/>
        <w:jc w:val="both"/>
        <w:rPr/>
      </w:pPr>
      <w:r>
        <w:rPr/>
        <w:t xml:space="preserve">  </w:t>
      </w:r>
    </w:p>
    <w:tbl>
      <w:tblPr>
        <w:tblW w:w="9378" w:type="dxa"/>
        <w:jc w:val="left"/>
        <w:tblInd w:w="0" w:type="dxa"/>
        <w:tblLayout w:type="fixed"/>
        <w:tblCellMar>
          <w:top w:w="28" w:type="dxa"/>
          <w:left w:w="28" w:type="dxa"/>
          <w:bottom w:w="28" w:type="dxa"/>
          <w:right w:w="28" w:type="dxa"/>
        </w:tblCellMar>
      </w:tblPr>
      <w:tblGrid>
        <w:gridCol w:w="3376"/>
        <w:gridCol w:w="1651"/>
        <w:gridCol w:w="4351"/>
      </w:tblGrid>
      <w:tr>
        <w:trPr/>
        <w:tc>
          <w:tcPr>
            <w:tcW w:w="3376" w:type="dxa"/>
            <w:tcBorders/>
            <w:vAlign w:val="center"/>
          </w:tcPr>
          <w:p>
            <w:pPr>
              <w:pStyle w:val="TableContents"/>
              <w:bidi w:val="0"/>
              <w:spacing w:before="0" w:after="283"/>
              <w:jc w:val="left"/>
              <w:rPr/>
            </w:pPr>
            <w:r>
              <w:rPr/>
              <w:t> </w:t>
            </w:r>
          </w:p>
        </w:tc>
        <w:tc>
          <w:tcPr>
            <w:tcW w:w="1651" w:type="dxa"/>
            <w:tcBorders/>
            <w:vAlign w:val="center"/>
          </w:tcPr>
          <w:p>
            <w:pPr>
              <w:pStyle w:val="TableContents"/>
              <w:bidi w:val="0"/>
              <w:spacing w:before="0" w:after="283"/>
              <w:jc w:val="left"/>
              <w:rPr/>
            </w:pPr>
            <w:r>
              <w:rPr/>
              <w:t> </w:t>
            </w:r>
          </w:p>
        </w:tc>
        <w:tc>
          <w:tcPr>
            <w:tcW w:w="4351" w:type="dxa"/>
            <w:tcBorders/>
            <w:vAlign w:val="center"/>
          </w:tcPr>
          <w:p>
            <w:pPr>
              <w:pStyle w:val="TableContents"/>
              <w:bidi w:val="0"/>
              <w:spacing w:before="0" w:after="283"/>
              <w:jc w:val="left"/>
              <w:rPr/>
            </w:pPr>
            <w:r>
              <w:rPr/>
              <w:t> </w:t>
            </w:r>
          </w:p>
        </w:tc>
      </w:tr>
      <w:tr>
        <w:trPr/>
        <w:tc>
          <w:tcPr>
            <w:tcW w:w="3376" w:type="dxa"/>
            <w:tcBorders>
              <w:top w:val="single" w:sz="2" w:space="0" w:color="000000"/>
              <w:left w:val="single" w:sz="2" w:space="0" w:color="000000"/>
              <w:right w:val="single" w:sz="2" w:space="0" w:color="000000"/>
            </w:tcBorders>
            <w:tcMar>
              <w:bottom w:w="0" w:type="dxa"/>
            </w:tcMar>
            <w:vAlign w:val="center"/>
          </w:tcPr>
          <w:p>
            <w:pPr>
              <w:pStyle w:val="TableContents"/>
              <w:bidi w:val="0"/>
              <w:spacing w:before="0" w:after="283"/>
              <w:jc w:val="center"/>
              <w:rPr/>
            </w:pPr>
            <w:r>
              <w:rPr/>
              <w:t> </w:t>
            </w:r>
          </w:p>
        </w:tc>
        <w:tc>
          <w:tcPr>
            <w:tcW w:w="1651" w:type="dxa"/>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center"/>
              <w:rPr/>
            </w:pPr>
            <w:r>
              <w:rPr/>
              <w:t> </w:t>
            </w:r>
          </w:p>
        </w:tc>
        <w:tc>
          <w:tcPr>
            <w:tcW w:w="4351" w:type="dxa"/>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center"/>
              <w:rPr/>
            </w:pPr>
            <w:r>
              <w:rPr/>
              <w:t> </w:t>
            </w:r>
          </w:p>
        </w:tc>
      </w:tr>
      <w:tr>
        <w:trPr/>
        <w:tc>
          <w:tcPr>
            <w:tcW w:w="3376"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jc w:val="center"/>
              <w:rPr>
                <w:spacing w:val="0"/>
              </w:rPr>
            </w:pPr>
            <w:r>
              <w:rPr>
                <w:spacing w:val="0"/>
              </w:rPr>
              <w:t>Title of Each Class</w:t>
            </w:r>
          </w:p>
        </w:tc>
        <w:tc>
          <w:tcPr>
            <w:tcW w:w="165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jc w:val="center"/>
              <w:rPr>
                <w:spacing w:val="0"/>
              </w:rPr>
            </w:pPr>
            <w:r>
              <w:rPr>
                <w:spacing w:val="0"/>
              </w:rPr>
              <w:t>Trading Symbol</w:t>
            </w:r>
          </w:p>
        </w:tc>
        <w:tc>
          <w:tcPr>
            <w:tcW w:w="435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jc w:val="center"/>
              <w:rPr>
                <w:spacing w:val="0"/>
              </w:rPr>
            </w:pPr>
            <w:r>
              <w:rPr>
                <w:spacing w:val="0"/>
              </w:rPr>
              <w:t>Name of each exchange on which registered</w:t>
            </w:r>
          </w:p>
        </w:tc>
      </w:tr>
      <w:tr>
        <w:trPr/>
        <w:tc>
          <w:tcPr>
            <w:tcW w:w="3376" w:type="dxa"/>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center"/>
              <w:rPr/>
            </w:pPr>
            <w:r>
              <w:rPr/>
              <w:t> </w:t>
            </w:r>
          </w:p>
        </w:tc>
        <w:tc>
          <w:tcPr>
            <w:tcW w:w="1651" w:type="dxa"/>
            <w:tcBorders>
              <w:left w:val="single" w:sz="6" w:space="0" w:color="000000"/>
              <w:right w:val="single" w:sz="6" w:space="0" w:color="000000"/>
            </w:tcBorders>
            <w:tcMar>
              <w:top w:w="0" w:type="dxa"/>
              <w:bottom w:w="0" w:type="dxa"/>
            </w:tcMar>
            <w:vAlign w:val="center"/>
          </w:tcPr>
          <w:p>
            <w:pPr>
              <w:pStyle w:val="TableContents"/>
              <w:bidi w:val="0"/>
              <w:spacing w:before="0" w:after="283"/>
              <w:jc w:val="center"/>
              <w:rPr/>
            </w:pPr>
            <w:r>
              <w:rPr/>
              <w:t> </w:t>
            </w:r>
          </w:p>
        </w:tc>
        <w:tc>
          <w:tcPr>
            <w:tcW w:w="4351" w:type="dxa"/>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center"/>
              <w:rPr/>
            </w:pPr>
            <w:r>
              <w:rPr/>
              <w:t> </w:t>
            </w:r>
          </w:p>
        </w:tc>
      </w:tr>
      <w:tr>
        <w:trPr/>
        <w:tc>
          <w:tcPr>
            <w:tcW w:w="3376" w:type="dxa"/>
            <w:tcBorders>
              <w:left w:val="single" w:sz="6" w:space="0" w:color="000000"/>
              <w:bottom w:val="single" w:sz="6" w:space="0" w:color="000000"/>
              <w:right w:val="single" w:sz="6" w:space="0" w:color="000000"/>
            </w:tcBorders>
            <w:tcMar>
              <w:top w:w="0" w:type="dxa"/>
              <w:left w:w="75" w:type="dxa"/>
              <w:right w:w="108" w:type="dxa"/>
            </w:tcMar>
            <w:vAlign w:val="center"/>
          </w:tcPr>
          <w:p>
            <w:pPr>
              <w:pStyle w:val="TableContents"/>
              <w:bidi w:val="0"/>
              <w:spacing w:before="0" w:after="0"/>
              <w:jc w:val="center"/>
              <w:rPr/>
            </w:pPr>
            <w:r>
              <w:rPr/>
              <w:t xml:space="preserve">Common Stock, $0.001 par value </w:t>
            </w:r>
          </w:p>
        </w:tc>
        <w:tc>
          <w:tcPr>
            <w:tcW w:w="1651" w:type="dxa"/>
            <w:tcBorders>
              <w:left w:val="single" w:sz="6" w:space="0" w:color="000000"/>
              <w:bottom w:val="single" w:sz="6" w:space="0" w:color="000000"/>
              <w:right w:val="single" w:sz="6" w:space="0" w:color="000000"/>
            </w:tcBorders>
            <w:tcMar>
              <w:top w:w="0" w:type="dxa"/>
              <w:left w:w="75" w:type="dxa"/>
              <w:right w:w="108" w:type="dxa"/>
            </w:tcMar>
            <w:vAlign w:val="center"/>
          </w:tcPr>
          <w:p>
            <w:pPr>
              <w:pStyle w:val="TableContents"/>
              <w:bidi w:val="0"/>
              <w:spacing w:before="0" w:after="0"/>
              <w:jc w:val="center"/>
              <w:rPr/>
            </w:pPr>
            <w:r>
              <w:rPr/>
              <w:t xml:space="preserve">OLLI </w:t>
            </w:r>
          </w:p>
        </w:tc>
        <w:tc>
          <w:tcPr>
            <w:tcW w:w="4351" w:type="dxa"/>
            <w:tcBorders>
              <w:left w:val="single" w:sz="6" w:space="0" w:color="000000"/>
              <w:bottom w:val="single" w:sz="6" w:space="0" w:color="000000"/>
              <w:right w:val="single" w:sz="6" w:space="0" w:color="000000"/>
            </w:tcBorders>
            <w:tcMar>
              <w:top w:w="0" w:type="dxa"/>
              <w:left w:w="75" w:type="dxa"/>
              <w:right w:w="108" w:type="dxa"/>
            </w:tcMar>
            <w:vAlign w:val="center"/>
          </w:tcPr>
          <w:p>
            <w:pPr>
              <w:pStyle w:val="TableContents"/>
              <w:bidi w:val="0"/>
              <w:spacing w:before="0" w:after="0"/>
              <w:jc w:val="center"/>
              <w:rPr/>
            </w:pPr>
            <w:r>
              <w:rPr/>
              <w:t xml:space="preserve">The NASDAQ Stock Market LLC </w:t>
            </w:r>
          </w:p>
        </w:tc>
      </w:tr>
    </w:tbl>
    <w:p>
      <w:pPr>
        <w:pStyle w:val="TextBody"/>
        <w:bidi w:val="0"/>
        <w:spacing w:before="0" w:after="0"/>
        <w:ind w:left="0" w:right="0" w:hanging="0"/>
        <w:jc w:val="left"/>
        <w:rPr/>
      </w:pPr>
      <w:r>
        <w:rPr/>
        <w:t xml:space="preserve">  </w:t>
      </w:r>
    </w:p>
    <w:p>
      <w:pPr>
        <w:pStyle w:val="TextBody"/>
        <w:bidi w:val="0"/>
        <w:spacing w:before="0" w:after="0"/>
        <w:ind w:left="0" w:right="0" w:hanging="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Emerging growth company ☐ </w:t>
      </w:r>
    </w:p>
    <w:p>
      <w:pPr>
        <w:pStyle w:val="TextBody"/>
        <w:bidi w:val="0"/>
        <w:spacing w:before="0" w:after="0"/>
        <w:ind w:left="0" w:right="0" w:hanging="0"/>
        <w:jc w:val="left"/>
        <w:rPr/>
      </w:pPr>
      <w:r>
        <w:rPr/>
        <w:t xml:space="preserve">  </w:t>
      </w:r>
    </w:p>
    <w:p>
      <w:pPr>
        <w:pStyle w:val="TextBody"/>
        <w:bidi w:val="0"/>
        <w:spacing w:before="0" w:after="0"/>
        <w:ind w:left="0" w:right="0" w:hanging="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1</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1080"/>
        <w:jc w:val="left"/>
        <w:rPr>
          <w:rFonts w:ascii="Times New Roman" w:hAnsi="Times New Roman"/>
          <w:sz w:val="20"/>
        </w:rPr>
      </w:pPr>
      <w:r>
        <w:rPr>
          <w:rFonts w:ascii="Times New Roman" w:hAnsi="Times New Roman"/>
          <w:b/>
          <w:sz w:val="20"/>
        </w:rPr>
        <w:t>Other Events.</w:t>
      </w:r>
      <w:r>
        <w:rPr>
          <w:rFonts w:ascii="Times New Roman" w:hAnsi="Times New Roman"/>
          <w:sz w:val="20"/>
        </w:rPr>
        <w:t xml:space="preserve"> </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685800" cy="175260"/>
                <wp:effectExtent l="0" t="0" r="0" b="0"/>
                <wp:wrapSquare wrapText="right"/>
                <wp:docPr id="5" name="Frame5"/>
                <a:graphic xmlns:a="http://schemas.openxmlformats.org/drawingml/2006/main">
                  <a:graphicData uri="http://schemas.microsoft.com/office/word/2010/wordprocessingShape">
                    <wps:wsp>
                      <wps:cNvSpPr txBox="1"/>
                      <wps:spPr>
                        <a:xfrm>
                          <a:off x="0" y="0"/>
                          <a:ext cx="685800" cy="175260"/>
                        </a:xfrm>
                        <a:prstGeom prst="rect"/>
                        <a:solidFill>
                          <a:srgbClr val="FFFFFF"/>
                        </a:solidFill>
                      </wps:spPr>
                      <wps:txbx>
                        <w:txbxContent>
                          <w:p>
                            <w:pPr>
                              <w:pStyle w:val="TextBody"/>
                              <w:bidi w:val="0"/>
                              <w:spacing w:before="0" w:after="283"/>
                              <w:jc w:val="left"/>
                              <w:rPr/>
                            </w:pPr>
                            <w:r>
                              <w:rPr>
                                <w:b/>
                              </w:rPr>
                              <w:t>Item 8.01</w:t>
                            </w:r>
                            <w:r>
                              <w:rPr/>
                              <w:t xml:space="preserve"> </w:t>
                            </w:r>
                          </w:p>
                        </w:txbxContent>
                      </wps:txbx>
                      <wps:bodyPr anchor="t" lIns="0" tIns="0" rIns="0" bIns="0">
                        <a:noAutofit/>
                      </wps:bodyPr>
                    </wps:wsp>
                  </a:graphicData>
                </a:graphic>
              </wp:anchor>
            </w:drawing>
          </mc:Choice>
          <mc:Fallback>
            <w:pict>
              <v:rect style="position:absolute;rotation:-0;width: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Item 8.01</w:t>
                      </w:r>
                      <w:r>
                        <w:rPr/>
                        <w:t xml:space="preserve"> </w:t>
                      </w:r>
                    </w:p>
                  </w:txbxContent>
                </v:textbox>
                <w10:wrap type="square" side="right"/>
              </v:rect>
            </w:pict>
          </mc:Fallback>
        </mc:AlternateConten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 xml:space="preserve">On October 13, 2026, the Company announced that its Board of Directors has approved a new $500 million share repurchase program, authorizing the Company to repurchase its common stock. Under the share repurchase program, the Company may repurchase shares in the open market at current market prices at the time of purchase or in privately negotiated transactions. The timing and actual number of shares repurchased under the program will depend on a variety of factors, including price, corporate and regulatory requirements, and other business and market conditions, and the Company may suspend or discontinue the share repurchase program at any time, and may thereafter reinstitute purchases, all without prior announcement. A copy of the press release is being furnished as Exhibit 99.1 to this Current Report on Form 8-K. </w:t>
      </w:r>
    </w:p>
    <w:p>
      <w:pPr>
        <w:pStyle w:val="TextBody"/>
        <w:bidi w:val="0"/>
        <w:spacing w:before="0" w:after="0"/>
        <w:jc w:val="both"/>
        <w:rPr/>
      </w:pPr>
      <w:r>
        <w:rPr/>
        <w:t> </w:t>
      </w:r>
    </w:p>
    <w:p>
      <w:pPr>
        <w:pStyle w:val="TextBody"/>
        <w:bidi w:val="0"/>
        <w:spacing w:before="0" w:after="0"/>
        <w:ind w:left="0" w:right="0" w:hanging="1080"/>
        <w:jc w:val="left"/>
        <w:rPr>
          <w:rFonts w:ascii="Times New Roman" w:hAnsi="Times New Roman"/>
          <w:sz w:val="20"/>
        </w:rPr>
      </w:pPr>
      <w:r>
        <w:rPr>
          <w:rFonts w:ascii="Times New Roman" w:hAnsi="Times New Roman"/>
          <w:b/>
          <w:sz w:val="20"/>
        </w:rPr>
        <w:t>Financial Statements and Exhibits.</w:t>
      </w:r>
      <w:r>
        <w:rPr>
          <w:rFonts w:ascii="Times New Roman" w:hAnsi="Times New Roman"/>
          <w:sz w:val="20"/>
        </w:rPr>
        <w:t xml:space="preserve"> </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685800" cy="175260"/>
                <wp:effectExtent l="0" t="0" r="0" b="0"/>
                <wp:wrapSquare wrapText="right"/>
                <wp:docPr id="6" name="Frame6"/>
                <a:graphic xmlns:a="http://schemas.openxmlformats.org/drawingml/2006/main">
                  <a:graphicData uri="http://schemas.microsoft.com/office/word/2010/wordprocessingShape">
                    <wps:wsp>
                      <wps:cNvSpPr txBox="1"/>
                      <wps:spPr>
                        <a:xfrm>
                          <a:off x="0" y="0"/>
                          <a:ext cx="685800" cy="175260"/>
                        </a:xfrm>
                        <a:prstGeom prst="rect"/>
                        <a:solidFill>
                          <a:srgbClr val="FFFFFF"/>
                        </a:solidFill>
                      </wps:spPr>
                      <wps:txbx>
                        <w:txbxContent>
                          <w:p>
                            <w:pPr>
                              <w:pStyle w:val="TextBody"/>
                              <w:bidi w:val="0"/>
                              <w:spacing w:before="0" w:after="283"/>
                              <w:jc w:val="left"/>
                              <w:rPr/>
                            </w:pPr>
                            <w:r>
                              <w:rPr>
                                <w:b/>
                              </w:rPr>
                              <w:t>Item 9.01</w:t>
                            </w:r>
                            <w:r>
                              <w:rPr/>
                              <w:t xml:space="preserve"> </w:t>
                            </w:r>
                          </w:p>
                        </w:txbxContent>
                      </wps:txbx>
                      <wps:bodyPr anchor="t" lIns="0" tIns="0" rIns="0" bIns="0">
                        <a:noAutofit/>
                      </wps:bodyPr>
                    </wps:wsp>
                  </a:graphicData>
                </a:graphic>
              </wp:anchor>
            </w:drawing>
          </mc:Choice>
          <mc:Fallback>
            <w:pict>
              <v:rect style="position:absolute;rotation:-0;width: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Item 9.01</w:t>
                      </w:r>
                      <w:r>
                        <w:rPr/>
                        <w:t xml:space="preserve"> </w:t>
                      </w:r>
                    </w:p>
                  </w:txbxContent>
                </v:textbox>
                <w10:wrap type="square" side="right"/>
              </v:rect>
            </w:pict>
          </mc:Fallback>
        </mc:AlternateContent>
      </w:r>
    </w:p>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161"/>
        <w:gridCol w:w="1186"/>
        <w:gridCol w:w="146"/>
        <w:gridCol w:w="8712"/>
      </w:tblGrid>
      <w:tr>
        <w:trPr/>
        <w:tc>
          <w:tcPr>
            <w:tcW w:w="161"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712" w:type="dxa"/>
            <w:tcBorders/>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044" w:type="dxa"/>
            <w:gridSpan w:val="3"/>
            <w:tcBorders/>
            <w:tcMar>
              <w:top w:w="0" w:type="dxa"/>
              <w:left w:w="0" w:type="dxa"/>
              <w:bottom w:w="0" w:type="dxa"/>
              <w:right w:w="0" w:type="dxa"/>
            </w:tcMar>
            <w:vAlign w:val="center"/>
          </w:tcPr>
          <w:p>
            <w:pPr>
              <w:pStyle w:val="TableContents"/>
              <w:bidi w:val="0"/>
              <w:spacing w:before="0" w:after="283"/>
              <w:jc w:val="left"/>
              <w:rPr/>
            </w:pPr>
            <w:r>
              <w:rPr>
                <w:spacing w:val="0"/>
              </w:rPr>
              <w:t xml:space="preserve">(d) </w:t>
            </w:r>
            <w:r>
              <w:rPr>
                <w:spacing w:val="0"/>
                <w:u w:val="single"/>
              </w:rPr>
              <w:t>Exhibits</w:t>
            </w:r>
            <w:r>
              <w:rPr>
                <w:spacing w:val="0"/>
              </w:rPr>
              <w:t>. The following exhibits are filed with this report:</w:t>
            </w:r>
            <w:r>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871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bottom w:val="single" w:sz="12" w:space="0" w:color="000000"/>
            </w:tcBorders>
            <w:tcMar>
              <w:top w:w="0" w:type="dxa"/>
              <w:left w:w="0" w:type="dxa"/>
              <w:right w:w="0" w:type="dxa"/>
            </w:tcMar>
            <w:vAlign w:val="center"/>
          </w:tcPr>
          <w:p>
            <w:pPr>
              <w:pStyle w:val="TableContents"/>
              <w:bidi w:val="0"/>
              <w:spacing w:before="0" w:after="283"/>
              <w:jc w:val="left"/>
              <w:rPr>
                <w:b/>
                <w:spacing w:val="0"/>
              </w:rPr>
            </w:pPr>
            <w:r>
              <w:rPr>
                <w:b/>
                <w:spacing w:val="0"/>
              </w:rPr>
              <w:t>Exhibit No.</w:t>
            </w:r>
          </w:p>
        </w:tc>
        <w:tc>
          <w:tcPr>
            <w:tcW w:w="146" w:type="dxa"/>
            <w:tcBorders/>
            <w:vAlign w:val="center"/>
          </w:tcPr>
          <w:p>
            <w:pPr>
              <w:pStyle w:val="TableContents"/>
              <w:bidi w:val="0"/>
              <w:spacing w:before="0" w:after="283"/>
              <w:jc w:val="center"/>
              <w:rPr/>
            </w:pPr>
            <w:r>
              <w:rPr/>
              <w:t> </w:t>
            </w:r>
          </w:p>
        </w:tc>
        <w:tc>
          <w:tcPr>
            <w:tcW w:w="8712" w:type="dxa"/>
            <w:tcBorders>
              <w:bottom w:val="single" w:sz="12" w:space="0" w:color="000000"/>
            </w:tcBorders>
            <w:tcMar>
              <w:top w:w="0" w:type="dxa"/>
              <w:left w:w="0" w:type="dxa"/>
              <w:right w:w="0" w:type="dxa"/>
            </w:tcMar>
            <w:vAlign w:val="center"/>
          </w:tcPr>
          <w:p>
            <w:pPr>
              <w:pStyle w:val="TableContents"/>
              <w:bidi w:val="0"/>
              <w:spacing w:before="0" w:after="283"/>
              <w:jc w:val="center"/>
              <w:rPr>
                <w:b/>
                <w:spacing w:val="0"/>
              </w:rPr>
            </w:pPr>
            <w:r>
              <w:rPr>
                <w:b/>
                <w:spacing w:val="0"/>
              </w:rPr>
              <w:t>Description</w:t>
            </w:r>
          </w:p>
        </w:tc>
      </w:tr>
      <w:tr>
        <w:trPr/>
        <w:tc>
          <w:tcPr>
            <w:tcW w:w="161"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spacing w:val="0"/>
              </w:rPr>
            </w:pPr>
            <w:r>
              <w:rPr>
                <w:spacing w:val="0"/>
              </w:rPr>
              <w:t>99.1</w:t>
            </w:r>
          </w:p>
        </w:tc>
        <w:tc>
          <w:tcPr>
            <w:tcW w:w="146" w:type="dxa"/>
            <w:tcBorders/>
            <w:vAlign w:val="center"/>
          </w:tcPr>
          <w:p>
            <w:pPr>
              <w:pStyle w:val="TableContents"/>
              <w:bidi w:val="0"/>
              <w:spacing w:before="0" w:after="283"/>
              <w:jc w:val="left"/>
              <w:rPr/>
            </w:pPr>
            <w:r>
              <w:rPr/>
              <w:t> </w:t>
            </w:r>
          </w:p>
        </w:tc>
        <w:tc>
          <w:tcPr>
            <w:tcW w:w="8712" w:type="dxa"/>
            <w:tcBorders/>
            <w:vAlign w:val="center"/>
          </w:tcPr>
          <w:p>
            <w:pPr>
              <w:pStyle w:val="TableContents"/>
              <w:bidi w:val="0"/>
              <w:spacing w:before="0" w:after="283"/>
              <w:jc w:val="left"/>
              <w:rPr>
                <w:spacing w:val="0"/>
              </w:rPr>
            </w:pPr>
            <w:r>
              <w:rPr>
                <w:spacing w:val="0"/>
              </w:rPr>
              <w:t>Press Release issued on October 13, 2026 of Ollie’s Bargain Outlet Holdings, Inc.</w:t>
            </w:r>
          </w:p>
        </w:tc>
      </w:tr>
      <w:tr>
        <w:trPr/>
        <w:tc>
          <w:tcPr>
            <w:tcW w:w="161"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spacing w:val="0"/>
              </w:rPr>
            </w:pPr>
            <w:r>
              <w:rPr>
                <w:spacing w:val="0"/>
              </w:rPr>
              <w:t>104</w:t>
            </w:r>
          </w:p>
        </w:tc>
        <w:tc>
          <w:tcPr>
            <w:tcW w:w="146" w:type="dxa"/>
            <w:tcBorders/>
            <w:vAlign w:val="center"/>
          </w:tcPr>
          <w:p>
            <w:pPr>
              <w:pStyle w:val="TableContents"/>
              <w:bidi w:val="0"/>
              <w:spacing w:before="0" w:after="283"/>
              <w:jc w:val="left"/>
              <w:rPr/>
            </w:pPr>
            <w:r>
              <w:rPr/>
              <w:t> </w:t>
            </w:r>
          </w:p>
        </w:tc>
        <w:tc>
          <w:tcPr>
            <w:tcW w:w="8712" w:type="dxa"/>
            <w:tcBorders/>
            <w:vAlign w:val="center"/>
          </w:tcPr>
          <w:p>
            <w:pPr>
              <w:pStyle w:val="TableContents"/>
              <w:bidi w:val="0"/>
              <w:spacing w:before="0" w:after="283"/>
              <w:jc w:val="left"/>
              <w:rPr>
                <w:spacing w:val="0"/>
              </w:rPr>
            </w:pPr>
            <w:r>
              <w:rPr>
                <w:spacing w:val="0"/>
              </w:rPr>
              <w:t>Cover Page Interactive Data File - the cover page XBRL tags are embedded within the Inline XBRL document.</w:t>
            </w:r>
          </w:p>
        </w:tc>
      </w:tr>
    </w:tbl>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9</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 w:hAnsi="Times New Roman"/>
          <w:sz w:val="20"/>
        </w:rPr>
      </w:pPr>
      <w:r>
        <w:rPr>
          <w:rFonts w:ascii="Times New Roman" w:hAnsi="Times New Roman"/>
          <w:b/>
          <w:sz w:val="20"/>
          <w:u w:val="single"/>
        </w:rPr>
        <w:t>Forward-Looking Statements</w:t>
      </w:r>
      <w:r>
        <w:rPr>
          <w:rFonts w:ascii="Times New Roman" w:hAnsi="Times New Roman"/>
          <w:sz w:val="20"/>
        </w:rPr>
        <w:t xml:space="preserve"> </w:t>
      </w:r>
    </w:p>
    <w:p>
      <w:pPr>
        <w:pStyle w:val="TextBody"/>
        <w:bidi w:val="0"/>
        <w:spacing w:before="0" w:after="0"/>
        <w:ind w:left="0" w:right="0" w:hanging="0"/>
        <w:jc w:val="both"/>
        <w:rPr/>
      </w:pPr>
      <w:r>
        <w:rPr/>
        <w:t xml:space="preserve">  </w:t>
      </w:r>
    </w:p>
    <w:p>
      <w:pPr>
        <w:pStyle w:val="TextBody"/>
        <w:bidi w:val="0"/>
        <w:spacing w:before="0" w:after="0"/>
        <w:ind w:left="0" w:right="0" w:firstLine="450"/>
        <w:jc w:val="both"/>
        <w:rPr>
          <w:rFonts w:ascii="Times New Roman" w:hAnsi="Times New Roman"/>
          <w:sz w:val="20"/>
        </w:rPr>
      </w:pPr>
      <w:r>
        <w:rPr>
          <w:rFonts w:ascii="Times New Roman" w:hAnsi="Times New Roman"/>
          <w:i/>
          <w:sz w:val="20"/>
        </w:rPr>
        <w:t>This Current Report on Form 8-K, including Exhibits 99.1, contains or may contain forward-looking statements</w:t>
      </w:r>
      <w:r>
        <w:rPr>
          <w:rFonts w:ascii="Times New Roman" w:hAnsi="Times New Roman"/>
          <w:sz w:val="20"/>
        </w:rPr>
        <w:t> </w:t>
      </w:r>
      <w:r>
        <w:rPr>
          <w:rFonts w:ascii="Times New Roman" w:hAnsi="Times New Roman"/>
          <w:i/>
          <w:sz w:val="20"/>
        </w:rPr>
        <w:t>made pursuant to the safe harbor provisions of the Private Securities Litigation Reform Act of 1995.</w:t>
      </w:r>
      <w:r>
        <w:rPr>
          <w:rFonts w:ascii="Times New Roman" w:hAnsi="Times New Roman"/>
          <w:sz w:val="20"/>
        </w:rPr>
        <w:t> </w:t>
      </w:r>
      <w:r>
        <w:rPr>
          <w:rFonts w:ascii="Times New Roman" w:hAnsi="Times New Roman"/>
          <w:i/>
          <w:sz w:val="20"/>
        </w:rPr>
        <w:t>Words such as “will,” “expect,” “anticipate,” “intend,” “may,” “could,” “should,” “plan,” “project,” “forecast,” “believe,” “estimate,” “guidance,” “outlook,” “trends,” “goals” and similar expressions generally identify these forward-looking statements. Forward-looking statements are based on the Company’s current expectations and assumptions regarding its business, capital market conditions, the economy and other future conditions. Because forward-looking statements relate to the future, by their nature, they are subject to inherent uncertainties, risks and changes in circumstances that are difficult to predict. As a result, the Company’s actual results may differ materially from those contemplated by the forward-looking statements. Factors or events that could cause the Company’s actual results to differ may emerge from time to time, and it is not possible for the Company to predict all of them. Any forward-looking statements made by the Company in this press release speak only as of the date on which they were made. The Company undertakes no obligation to publicly update or revise any forward-looking statement, whether as a result of new information, future developments or otherwise, except as may be required by law.</w:t>
      </w:r>
    </w:p>
    <w:p>
      <w:pPr>
        <w:pStyle w:val="TextBody"/>
        <w:bidi w:val="0"/>
        <w:spacing w:before="0" w:after="0"/>
        <w:ind w:left="0" w:right="0" w:firstLine="1080"/>
        <w:jc w:val="both"/>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9</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 w:hAnsi="Times New Roman"/>
          <w:sz w:val="20"/>
        </w:rPr>
      </w:pPr>
      <w:r>
        <w:rPr>
          <w:rFonts w:ascii="Times New Roman" w:hAnsi="Times New Roman"/>
          <w:b/>
          <w:color w:val="000000"/>
          <w:sz w:val="20"/>
        </w:rPr>
        <w:t>SIGNATURES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r>
        <w:rPr>
          <w:rFonts w:ascii="Times New Roman" w:hAnsi="Times New Roman"/>
          <w:sz w:val="20"/>
        </w:rPr>
        <w:t xml:space="preserve"> </w:t>
      </w:r>
    </w:p>
    <w:p>
      <w:pPr>
        <w:pStyle w:val="TextBody"/>
        <w:bidi w:val="0"/>
        <w:spacing w:before="0" w:after="0"/>
        <w:jc w:val="left"/>
        <w:rPr/>
      </w:pPr>
      <w:r>
        <w:rPr/>
        <w:t xml:space="preserve">  </w:t>
      </w:r>
    </w:p>
    <w:tbl>
      <w:tblPr>
        <w:tblW w:w="10054" w:type="dxa"/>
        <w:jc w:val="left"/>
        <w:tblInd w:w="0" w:type="dxa"/>
        <w:tblLayout w:type="fixed"/>
        <w:tblCellMar>
          <w:top w:w="28" w:type="dxa"/>
          <w:left w:w="28" w:type="dxa"/>
          <w:bottom w:w="28" w:type="dxa"/>
          <w:right w:w="28" w:type="dxa"/>
        </w:tblCellMar>
      </w:tblPr>
      <w:tblGrid>
        <w:gridCol w:w="2416"/>
        <w:gridCol w:w="511"/>
        <w:gridCol w:w="796"/>
        <w:gridCol w:w="6331"/>
      </w:tblGrid>
      <w:tr>
        <w:trPr/>
        <w:tc>
          <w:tcPr>
            <w:tcW w:w="241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6331" w:type="dxa"/>
            <w:tcBorders/>
            <w:vAlign w:val="center"/>
          </w:tcPr>
          <w:p>
            <w:pPr>
              <w:pStyle w:val="TableContents"/>
              <w:bidi w:val="0"/>
              <w:spacing w:before="0" w:after="283"/>
              <w:jc w:val="left"/>
              <w:rPr/>
            </w:pPr>
            <w:r>
              <w:rPr/>
              <w:t> </w:t>
            </w:r>
          </w:p>
        </w:tc>
      </w:tr>
      <w:tr>
        <w:trPr/>
        <w:tc>
          <w:tcPr>
            <w:tcW w:w="2416" w:type="dxa"/>
            <w:tcBorders/>
            <w:vAlign w:val="center"/>
          </w:tcPr>
          <w:p>
            <w:pPr>
              <w:pStyle w:val="TableContents"/>
              <w:bidi w:val="0"/>
              <w:spacing w:before="0" w:after="0"/>
              <w:jc w:val="left"/>
              <w:rPr/>
            </w:pPr>
            <w:r>
              <w:rPr>
                <w:color w:val="000000"/>
              </w:rPr>
              <w:t> </w:t>
            </w:r>
            <w:r>
              <w:rPr/>
              <w:t xml:space="preserve"> </w:t>
            </w:r>
          </w:p>
        </w:tc>
        <w:tc>
          <w:tcPr>
            <w:tcW w:w="7638" w:type="dxa"/>
            <w:gridSpan w:val="3"/>
            <w:tcBorders/>
            <w:vAlign w:val="center"/>
          </w:tcPr>
          <w:p>
            <w:pPr>
              <w:pStyle w:val="TableContents"/>
              <w:bidi w:val="0"/>
              <w:spacing w:before="0" w:after="0"/>
              <w:jc w:val="left"/>
              <w:rPr/>
            </w:pPr>
            <w:r>
              <w:rPr>
                <w:b/>
                <w:color w:val="000000"/>
              </w:rPr>
              <w:t>OLLIE’S BARGAIN OUTLET HOLDINGS, INC.</w:t>
            </w:r>
            <w:r>
              <w:rPr/>
              <w:t xml:space="preserve"> </w:t>
            </w:r>
          </w:p>
        </w:tc>
      </w:tr>
      <w:tr>
        <w:trPr/>
        <w:tc>
          <w:tcPr>
            <w:tcW w:w="2416" w:type="dxa"/>
            <w:tcBorders/>
            <w:vAlign w:val="center"/>
          </w:tcPr>
          <w:p>
            <w:pPr>
              <w:pStyle w:val="TableContents"/>
              <w:bidi w:val="0"/>
              <w:spacing w:before="0" w:after="0"/>
              <w:jc w:val="left"/>
              <w:rPr/>
            </w:pPr>
            <w:r>
              <w:rPr>
                <w:color w:val="000000"/>
              </w:rPr>
              <w:t> </w:t>
            </w:r>
            <w:r>
              <w:rPr/>
              <w:t xml:space="preserve"> </w:t>
            </w:r>
          </w:p>
        </w:tc>
        <w:tc>
          <w:tcPr>
            <w:tcW w:w="7638" w:type="dxa"/>
            <w:gridSpan w:val="3"/>
            <w:tcBorders/>
            <w:vAlign w:val="center"/>
          </w:tcPr>
          <w:p>
            <w:pPr>
              <w:pStyle w:val="TableContents"/>
              <w:bidi w:val="0"/>
              <w:spacing w:before="0" w:after="0"/>
              <w:jc w:val="left"/>
              <w:rPr/>
            </w:pPr>
            <w:r>
              <w:rPr>
                <w:color w:val="000000"/>
              </w:rPr>
              <w:t> </w:t>
            </w:r>
            <w:r>
              <w:rPr/>
              <w:t xml:space="preserve"> </w:t>
            </w:r>
          </w:p>
        </w:tc>
      </w:tr>
      <w:tr>
        <w:trPr/>
        <w:tc>
          <w:tcPr>
            <w:tcW w:w="2416" w:type="dxa"/>
            <w:tcBorders/>
            <w:vAlign w:val="center"/>
          </w:tcPr>
          <w:p>
            <w:pPr>
              <w:pStyle w:val="TableContents"/>
              <w:bidi w:val="0"/>
              <w:spacing w:before="0" w:after="0"/>
              <w:jc w:val="left"/>
              <w:rPr/>
            </w:pPr>
            <w:r>
              <w:rPr>
                <w:color w:val="000000"/>
              </w:rPr>
              <w:t> </w:t>
            </w:r>
            <w:r>
              <w:rPr/>
              <w:t xml:space="preserve"> </w:t>
            </w:r>
          </w:p>
        </w:tc>
        <w:tc>
          <w:tcPr>
            <w:tcW w:w="511" w:type="dxa"/>
            <w:tcBorders/>
            <w:vAlign w:val="center"/>
          </w:tcPr>
          <w:p>
            <w:pPr>
              <w:pStyle w:val="TableContents"/>
              <w:bidi w:val="0"/>
              <w:spacing w:before="0" w:after="0"/>
              <w:jc w:val="both"/>
              <w:rPr/>
            </w:pPr>
            <w:r>
              <w:rPr>
                <w:color w:val="000000"/>
              </w:rPr>
              <w:t>By:</w:t>
            </w:r>
            <w:r>
              <w:rPr/>
              <w:t xml:space="preserve"> </w:t>
            </w:r>
          </w:p>
        </w:tc>
        <w:tc>
          <w:tcPr>
            <w:tcW w:w="7127" w:type="dxa"/>
            <w:gridSpan w:val="2"/>
            <w:tcBorders>
              <w:bottom w:val="single" w:sz="12" w:space="0" w:color="000000"/>
            </w:tcBorders>
            <w:tcMar>
              <w:top w:w="0" w:type="dxa"/>
              <w:left w:w="0" w:type="dxa"/>
              <w:right w:w="0" w:type="dxa"/>
            </w:tcMar>
            <w:vAlign w:val="center"/>
          </w:tcPr>
          <w:p>
            <w:pPr>
              <w:pStyle w:val="TableContents"/>
              <w:bidi w:val="0"/>
              <w:spacing w:before="0" w:after="0"/>
              <w:jc w:val="both"/>
              <w:rPr/>
            </w:pPr>
            <w:r>
              <w:rPr>
                <w:color w:val="000000"/>
              </w:rPr>
              <w:t>/s/ Jared Shure</w:t>
            </w:r>
            <w:r>
              <w:rPr/>
              <w:t xml:space="preserve"> </w:t>
            </w:r>
          </w:p>
        </w:tc>
      </w:tr>
      <w:tr>
        <w:trPr/>
        <w:tc>
          <w:tcPr>
            <w:tcW w:w="2416" w:type="dxa"/>
            <w:tcBorders/>
            <w:vAlign w:val="center"/>
          </w:tcPr>
          <w:p>
            <w:pPr>
              <w:pStyle w:val="TableContents"/>
              <w:bidi w:val="0"/>
              <w:spacing w:before="0" w:after="0"/>
              <w:jc w:val="left"/>
              <w:rPr/>
            </w:pPr>
            <w:r>
              <w:rPr>
                <w:color w:val="000000"/>
              </w:rPr>
              <w:t> </w:t>
            </w:r>
            <w:r>
              <w:rPr/>
              <w:t xml:space="preserve"> </w:t>
            </w:r>
          </w:p>
        </w:tc>
        <w:tc>
          <w:tcPr>
            <w:tcW w:w="511" w:type="dxa"/>
            <w:tcBorders/>
            <w:vAlign w:val="center"/>
          </w:tcPr>
          <w:p>
            <w:pPr>
              <w:pStyle w:val="TableContents"/>
              <w:bidi w:val="0"/>
              <w:spacing w:before="0" w:after="0"/>
              <w:jc w:val="left"/>
              <w:rPr/>
            </w:pPr>
            <w:r>
              <w:rPr>
                <w:color w:val="000000"/>
              </w:rPr>
              <w:t> </w:t>
            </w:r>
            <w:r>
              <w:rPr/>
              <w:t xml:space="preserve"> </w:t>
            </w:r>
          </w:p>
        </w:tc>
        <w:tc>
          <w:tcPr>
            <w:tcW w:w="796" w:type="dxa"/>
            <w:tcBorders/>
            <w:vAlign w:val="center"/>
          </w:tcPr>
          <w:p>
            <w:pPr>
              <w:pStyle w:val="TableContents"/>
              <w:bidi w:val="0"/>
              <w:spacing w:before="0" w:after="0"/>
              <w:jc w:val="left"/>
              <w:rPr/>
            </w:pPr>
            <w:r>
              <w:rPr>
                <w:color w:val="000000"/>
              </w:rPr>
              <w:t> </w:t>
            </w:r>
            <w:r>
              <w:rPr/>
              <w:t xml:space="preserve"> </w:t>
            </w:r>
          </w:p>
        </w:tc>
        <w:tc>
          <w:tcPr>
            <w:tcW w:w="6331" w:type="dxa"/>
            <w:tcBorders/>
            <w:vAlign w:val="center"/>
          </w:tcPr>
          <w:p>
            <w:pPr>
              <w:pStyle w:val="TableContents"/>
              <w:bidi w:val="0"/>
              <w:spacing w:before="0" w:after="0"/>
              <w:jc w:val="left"/>
              <w:rPr/>
            </w:pPr>
            <w:r>
              <w:rPr>
                <w:color w:val="000000"/>
              </w:rPr>
              <w:t> </w:t>
            </w:r>
            <w:r>
              <w:rPr/>
              <w:t xml:space="preserve"> </w:t>
            </w:r>
          </w:p>
        </w:tc>
      </w:tr>
      <w:tr>
        <w:trPr/>
        <w:tc>
          <w:tcPr>
            <w:tcW w:w="2416" w:type="dxa"/>
            <w:tcBorders/>
            <w:vAlign w:val="center"/>
          </w:tcPr>
          <w:p>
            <w:pPr>
              <w:pStyle w:val="TableContents"/>
              <w:bidi w:val="0"/>
              <w:spacing w:before="0" w:after="0"/>
              <w:jc w:val="left"/>
              <w:rPr/>
            </w:pPr>
            <w:r>
              <w:rPr>
                <w:color w:val="000000"/>
              </w:rPr>
              <w:t> </w:t>
            </w:r>
            <w:r>
              <w:rPr/>
              <w:t xml:space="preserve"> </w:t>
            </w:r>
          </w:p>
        </w:tc>
        <w:tc>
          <w:tcPr>
            <w:tcW w:w="511" w:type="dxa"/>
            <w:tcBorders/>
            <w:vAlign w:val="center"/>
          </w:tcPr>
          <w:p>
            <w:pPr>
              <w:pStyle w:val="TableContents"/>
              <w:bidi w:val="0"/>
              <w:spacing w:before="0" w:after="0"/>
              <w:jc w:val="left"/>
              <w:rPr/>
            </w:pPr>
            <w:r>
              <w:rPr>
                <w:color w:val="000000"/>
              </w:rPr>
              <w:t> </w:t>
            </w:r>
            <w:r>
              <w:rPr/>
              <w:t xml:space="preserve"> </w:t>
            </w:r>
          </w:p>
        </w:tc>
        <w:tc>
          <w:tcPr>
            <w:tcW w:w="796" w:type="dxa"/>
            <w:tcBorders/>
            <w:vAlign w:val="center"/>
          </w:tcPr>
          <w:p>
            <w:pPr>
              <w:pStyle w:val="TableContents"/>
              <w:bidi w:val="0"/>
              <w:spacing w:before="0" w:after="0"/>
              <w:jc w:val="both"/>
              <w:rPr/>
            </w:pPr>
            <w:r>
              <w:rPr>
                <w:color w:val="000000"/>
              </w:rPr>
              <w:t>Name:</w:t>
            </w:r>
            <w:r>
              <w:rPr/>
              <w:t xml:space="preserve"> </w:t>
            </w:r>
          </w:p>
        </w:tc>
        <w:tc>
          <w:tcPr>
            <w:tcW w:w="6331" w:type="dxa"/>
            <w:tcBorders/>
            <w:vAlign w:val="center"/>
          </w:tcPr>
          <w:p>
            <w:pPr>
              <w:pStyle w:val="TableContents"/>
              <w:bidi w:val="0"/>
              <w:spacing w:before="0" w:after="0"/>
              <w:jc w:val="both"/>
              <w:rPr/>
            </w:pPr>
            <w:r>
              <w:rPr>
                <w:color w:val="000000"/>
              </w:rPr>
              <w:t>Jared Shure</w:t>
            </w:r>
            <w:r>
              <w:rPr/>
              <w:t xml:space="preserve"> </w:t>
            </w:r>
          </w:p>
        </w:tc>
      </w:tr>
      <w:tr>
        <w:trPr/>
        <w:tc>
          <w:tcPr>
            <w:tcW w:w="2416" w:type="dxa"/>
            <w:tcBorders/>
            <w:vAlign w:val="center"/>
          </w:tcPr>
          <w:p>
            <w:pPr>
              <w:pStyle w:val="TableContents"/>
              <w:bidi w:val="0"/>
              <w:spacing w:before="0" w:after="0"/>
              <w:jc w:val="left"/>
              <w:rPr/>
            </w:pPr>
            <w:r>
              <w:rPr>
                <w:color w:val="000000"/>
              </w:rPr>
              <w:t> </w:t>
            </w:r>
            <w:r>
              <w:rPr/>
              <w:t xml:space="preserve"> </w:t>
            </w:r>
          </w:p>
        </w:tc>
        <w:tc>
          <w:tcPr>
            <w:tcW w:w="511" w:type="dxa"/>
            <w:tcBorders/>
            <w:vAlign w:val="center"/>
          </w:tcPr>
          <w:p>
            <w:pPr>
              <w:pStyle w:val="TableContents"/>
              <w:bidi w:val="0"/>
              <w:spacing w:before="0" w:after="0"/>
              <w:jc w:val="left"/>
              <w:rPr/>
            </w:pPr>
            <w:r>
              <w:rPr>
                <w:color w:val="000000"/>
              </w:rPr>
              <w:t> </w:t>
            </w:r>
            <w:r>
              <w:rPr/>
              <w:t xml:space="preserve"> </w:t>
            </w:r>
          </w:p>
        </w:tc>
        <w:tc>
          <w:tcPr>
            <w:tcW w:w="796" w:type="dxa"/>
            <w:tcBorders/>
            <w:vAlign w:val="center"/>
          </w:tcPr>
          <w:p>
            <w:pPr>
              <w:pStyle w:val="TableContents"/>
              <w:bidi w:val="0"/>
              <w:spacing w:before="0" w:after="0"/>
              <w:jc w:val="left"/>
              <w:rPr/>
            </w:pPr>
            <w:r>
              <w:rPr>
                <w:color w:val="000000"/>
              </w:rPr>
              <w:t>Title:</w:t>
            </w:r>
            <w:r>
              <w:rPr/>
              <w:t xml:space="preserve"> </w:t>
            </w:r>
          </w:p>
        </w:tc>
        <w:tc>
          <w:tcPr>
            <w:tcW w:w="6331" w:type="dxa"/>
            <w:tcBorders/>
            <w:vAlign w:val="center"/>
          </w:tcPr>
          <w:p>
            <w:pPr>
              <w:pStyle w:val="TableContents"/>
              <w:bidi w:val="0"/>
              <w:spacing w:before="0" w:after="0"/>
              <w:jc w:val="left"/>
              <w:rPr/>
            </w:pPr>
            <w:r>
              <w:rPr>
                <w:color w:val="000000"/>
              </w:rPr>
              <w:t>Senior Vice President, General Counsel and Corporate Secretary</w:t>
            </w:r>
            <w:r>
              <w:rPr/>
              <w:t xml:space="preserve"> </w:t>
            </w:r>
          </w:p>
        </w:tc>
      </w:tr>
      <w:tr>
        <w:trPr/>
        <w:tc>
          <w:tcPr>
            <w:tcW w:w="2416" w:type="dxa"/>
            <w:tcBorders/>
            <w:vAlign w:val="center"/>
          </w:tcPr>
          <w:p>
            <w:pPr>
              <w:pStyle w:val="TableContents"/>
              <w:bidi w:val="0"/>
              <w:spacing w:before="0" w:after="0"/>
              <w:jc w:val="left"/>
              <w:rPr/>
            </w:pPr>
            <w:r>
              <w:rPr>
                <w:color w:val="000000"/>
              </w:rPr>
              <w:t> </w:t>
            </w:r>
            <w:r>
              <w:rPr/>
              <w:t xml:space="preserve"> </w:t>
            </w:r>
          </w:p>
        </w:tc>
        <w:tc>
          <w:tcPr>
            <w:tcW w:w="511" w:type="dxa"/>
            <w:tcBorders/>
            <w:vAlign w:val="center"/>
          </w:tcPr>
          <w:p>
            <w:pPr>
              <w:pStyle w:val="TableContents"/>
              <w:bidi w:val="0"/>
              <w:spacing w:before="0" w:after="0"/>
              <w:jc w:val="left"/>
              <w:rPr/>
            </w:pPr>
            <w:r>
              <w:rPr>
                <w:color w:val="000000"/>
              </w:rPr>
              <w:t> </w:t>
            </w:r>
            <w:r>
              <w:rPr/>
              <w:t xml:space="preserve"> </w:t>
            </w:r>
          </w:p>
        </w:tc>
        <w:tc>
          <w:tcPr>
            <w:tcW w:w="796" w:type="dxa"/>
            <w:tcBorders/>
            <w:vAlign w:val="center"/>
          </w:tcPr>
          <w:p>
            <w:pPr>
              <w:pStyle w:val="TableContents"/>
              <w:bidi w:val="0"/>
              <w:spacing w:before="0" w:after="0"/>
              <w:jc w:val="left"/>
              <w:rPr/>
            </w:pPr>
            <w:r>
              <w:rPr>
                <w:color w:val="000000"/>
              </w:rPr>
              <w:t> </w:t>
            </w:r>
            <w:r>
              <w:rPr/>
              <w:t xml:space="preserve"> </w:t>
            </w:r>
          </w:p>
        </w:tc>
        <w:tc>
          <w:tcPr>
            <w:tcW w:w="6331" w:type="dxa"/>
            <w:tcBorders/>
            <w:vAlign w:val="center"/>
          </w:tcPr>
          <w:p>
            <w:pPr>
              <w:pStyle w:val="TableContents"/>
              <w:bidi w:val="0"/>
              <w:spacing w:before="0" w:after="0"/>
              <w:jc w:val="left"/>
              <w:rPr/>
            </w:pPr>
            <w:r>
              <w:rPr>
                <w:color w:val="000000"/>
              </w:rPr>
              <w:t> </w:t>
            </w:r>
            <w:r>
              <w:rPr/>
              <w:t xml:space="preserve"> </w:t>
            </w:r>
          </w:p>
        </w:tc>
      </w:tr>
      <w:tr>
        <w:trPr/>
        <w:tc>
          <w:tcPr>
            <w:tcW w:w="2416" w:type="dxa"/>
            <w:tcBorders/>
            <w:vAlign w:val="center"/>
          </w:tcPr>
          <w:p>
            <w:pPr>
              <w:pStyle w:val="TableContents"/>
              <w:bidi w:val="0"/>
              <w:spacing w:before="0" w:after="0"/>
              <w:jc w:val="left"/>
              <w:rPr/>
            </w:pPr>
            <w:r>
              <w:rPr>
                <w:color w:val="000000"/>
              </w:rPr>
              <w:t>Date: October 13, 2026</w:t>
            </w:r>
            <w:r>
              <w:rPr/>
              <w:t xml:space="preserve"> </w:t>
            </w:r>
          </w:p>
        </w:tc>
        <w:tc>
          <w:tcPr>
            <w:tcW w:w="511" w:type="dxa"/>
            <w:tcBorders/>
            <w:vAlign w:val="center"/>
          </w:tcPr>
          <w:p>
            <w:pPr>
              <w:pStyle w:val="TableContents"/>
              <w:bidi w:val="0"/>
              <w:spacing w:before="0" w:after="0"/>
              <w:jc w:val="left"/>
              <w:rPr/>
            </w:pPr>
            <w:r>
              <w:rPr>
                <w:color w:val="000000"/>
              </w:rPr>
              <w:t> </w:t>
            </w:r>
            <w:r>
              <w:rPr/>
              <w:t xml:space="preserve"> </w:t>
            </w:r>
          </w:p>
        </w:tc>
        <w:tc>
          <w:tcPr>
            <w:tcW w:w="796" w:type="dxa"/>
            <w:tcBorders/>
            <w:vAlign w:val="center"/>
          </w:tcPr>
          <w:p>
            <w:pPr>
              <w:pStyle w:val="TableContents"/>
              <w:bidi w:val="0"/>
              <w:spacing w:before="0" w:after="0"/>
              <w:jc w:val="left"/>
              <w:rPr/>
            </w:pPr>
            <w:r>
              <w:rPr>
                <w:color w:val="000000"/>
              </w:rPr>
              <w:t> </w:t>
            </w:r>
            <w:r>
              <w:rPr/>
              <w:t xml:space="preserve"> </w:t>
            </w:r>
          </w:p>
        </w:tc>
        <w:tc>
          <w:tcPr>
            <w:tcW w:w="6331" w:type="dxa"/>
            <w:tcBorders/>
            <w:vAlign w:val="center"/>
          </w:tcPr>
          <w:p>
            <w:pPr>
              <w:pStyle w:val="TableContents"/>
              <w:bidi w:val="0"/>
              <w:spacing w:before="0" w:after="0"/>
              <w:jc w:val="left"/>
              <w:rPr/>
            </w:pPr>
            <w:r>
              <w:rPr>
                <w:color w:val="000000"/>
              </w:rPr>
              <w:t> </w:t>
            </w:r>
            <w:r>
              <w:rPr/>
              <w:t xml:space="preserve"> </w:t>
            </w:r>
          </w:p>
        </w:tc>
      </w:tr>
    </w:tbl>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9</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 w:hAnsi="Times New Roman"/>
          <w:sz w:val="20"/>
        </w:rPr>
      </w:pPr>
      <w:r>
        <w:rPr>
          <w:rFonts w:ascii="Times New Roman" w:hAnsi="Times New Roman"/>
          <w:b/>
          <w:sz w:val="20"/>
        </w:rPr>
        <w:t>EXHIBIT INDEX</w:t>
      </w:r>
      <w:r>
        <w:rPr>
          <w:rFonts w:ascii="Times New Roman" w:hAnsi="Times New Roman"/>
          <w:sz w:val="20"/>
        </w:rPr>
        <w:t xml:space="preserve"> </w:t>
      </w:r>
    </w:p>
    <w:p>
      <w:pPr>
        <w:pStyle w:val="TextBody"/>
        <w:bidi w:val="0"/>
        <w:spacing w:before="0" w:after="0"/>
        <w:jc w:val="center"/>
        <w:rPr/>
      </w:pPr>
      <w:r>
        <w:rPr/>
        <w:t xml:space="preserve">  </w:t>
      </w:r>
    </w:p>
    <w:tbl>
      <w:tblPr>
        <w:tblW w:w="10205" w:type="dxa"/>
        <w:jc w:val="left"/>
        <w:tblInd w:w="0" w:type="dxa"/>
        <w:tblLayout w:type="fixed"/>
        <w:tblCellMar>
          <w:top w:w="28" w:type="dxa"/>
          <w:left w:w="28" w:type="dxa"/>
          <w:bottom w:w="28" w:type="dxa"/>
          <w:right w:w="28" w:type="dxa"/>
        </w:tblCellMar>
      </w:tblPr>
      <w:tblGrid>
        <w:gridCol w:w="1250"/>
        <w:gridCol w:w="146"/>
        <w:gridCol w:w="8809"/>
      </w:tblGrid>
      <w:tr>
        <w:trPr/>
        <w:tc>
          <w:tcPr>
            <w:tcW w:w="125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09" w:type="dxa"/>
            <w:tcBorders/>
            <w:vAlign w:val="center"/>
          </w:tcPr>
          <w:p>
            <w:pPr>
              <w:pStyle w:val="TableContents"/>
              <w:bidi w:val="0"/>
              <w:spacing w:before="0" w:after="283"/>
              <w:jc w:val="left"/>
              <w:rPr/>
            </w:pPr>
            <w:r>
              <w:rPr/>
              <w:t> </w:t>
            </w:r>
          </w:p>
        </w:tc>
      </w:tr>
      <w:tr>
        <w:trPr/>
        <w:tc>
          <w:tcPr>
            <w:tcW w:w="1250" w:type="dxa"/>
            <w:tcBorders>
              <w:bottom w:val="single" w:sz="6" w:space="0" w:color="000000"/>
            </w:tcBorders>
            <w:tcMar>
              <w:top w:w="0" w:type="dxa"/>
              <w:left w:w="0" w:type="dxa"/>
              <w:right w:w="0" w:type="dxa"/>
            </w:tcMar>
            <w:vAlign w:val="center"/>
          </w:tcPr>
          <w:p>
            <w:pPr>
              <w:pStyle w:val="TableContents"/>
              <w:bidi w:val="0"/>
              <w:spacing w:before="0" w:after="0"/>
              <w:jc w:val="left"/>
              <w:rPr>
                <w:b/>
              </w:rPr>
            </w:pPr>
            <w:r>
              <w:rPr>
                <w:b/>
              </w:rPr>
              <w:t xml:space="preserve">Exhibit No. </w:t>
            </w:r>
          </w:p>
        </w:tc>
        <w:tc>
          <w:tcPr>
            <w:tcW w:w="146" w:type="dxa"/>
            <w:tcBorders/>
            <w:vAlign w:val="center"/>
          </w:tcPr>
          <w:p>
            <w:pPr>
              <w:pStyle w:val="TableContents"/>
              <w:bidi w:val="0"/>
              <w:spacing w:before="0" w:after="283"/>
              <w:jc w:val="left"/>
              <w:rPr/>
            </w:pPr>
            <w:r>
              <w:rPr/>
              <w:t> </w:t>
            </w:r>
          </w:p>
        </w:tc>
        <w:tc>
          <w:tcPr>
            <w:tcW w:w="8809" w:type="dxa"/>
            <w:tcBorders>
              <w:bottom w:val="single" w:sz="12" w:space="0" w:color="000000"/>
            </w:tcBorders>
            <w:tcMar>
              <w:top w:w="0" w:type="dxa"/>
              <w:left w:w="0" w:type="dxa"/>
              <w:right w:w="0" w:type="dxa"/>
            </w:tcMar>
            <w:vAlign w:val="center"/>
          </w:tcPr>
          <w:p>
            <w:pPr>
              <w:pStyle w:val="TableContents"/>
              <w:bidi w:val="0"/>
              <w:spacing w:before="0" w:after="0"/>
              <w:jc w:val="center"/>
              <w:rPr>
                <w:b/>
              </w:rPr>
            </w:pPr>
            <w:r>
              <w:rPr>
                <w:b/>
              </w:rPr>
              <w:t xml:space="preserve">Description </w:t>
            </w:r>
          </w:p>
        </w:tc>
      </w:tr>
      <w:tr>
        <w:trPr/>
        <w:tc>
          <w:tcPr>
            <w:tcW w:w="1250" w:type="dxa"/>
            <w:tcBorders/>
            <w:vAlign w:val="center"/>
          </w:tcPr>
          <w:p>
            <w:pPr>
              <w:pStyle w:val="TableContents"/>
              <w:bidi w:val="0"/>
              <w:spacing w:before="0" w:after="0"/>
              <w:jc w:val="left"/>
              <w:rPr/>
            </w:pPr>
            <w:hyperlink w:anchor="ef20083658_ex99-1.htm">
              <w:r>
                <w:rPr>
                  <w:rStyle w:val="InternetLink"/>
                </w:rPr>
                <w:t>99.1</w:t>
              </w:r>
            </w:hyperlink>
            <w:r>
              <w:rPr/>
              <w:t xml:space="preserve"> </w:t>
            </w:r>
          </w:p>
        </w:tc>
        <w:tc>
          <w:tcPr>
            <w:tcW w:w="146" w:type="dxa"/>
            <w:tcBorders/>
            <w:vAlign w:val="center"/>
          </w:tcPr>
          <w:p>
            <w:pPr>
              <w:pStyle w:val="TableContents"/>
              <w:bidi w:val="0"/>
              <w:spacing w:before="0" w:after="283"/>
              <w:jc w:val="left"/>
              <w:rPr/>
            </w:pPr>
            <w:r>
              <w:rPr/>
              <w:t> </w:t>
            </w:r>
          </w:p>
        </w:tc>
        <w:tc>
          <w:tcPr>
            <w:tcW w:w="8809" w:type="dxa"/>
            <w:tcBorders/>
            <w:vAlign w:val="center"/>
          </w:tcPr>
          <w:p>
            <w:pPr>
              <w:pStyle w:val="TableContents"/>
              <w:bidi w:val="0"/>
              <w:spacing w:before="0" w:after="0"/>
              <w:jc w:val="left"/>
              <w:rPr/>
            </w:pPr>
            <w:r>
              <w:rPr/>
              <w:t xml:space="preserve">Press Release issued on October 13, 2026 of Ollie’s Bargain Outlet Holdings, Inc. </w:t>
            </w:r>
          </w:p>
        </w:tc>
      </w:tr>
      <w:tr>
        <w:trPr/>
        <w:tc>
          <w:tcPr>
            <w:tcW w:w="1250" w:type="dxa"/>
            <w:tcBorders/>
            <w:vAlign w:val="center"/>
          </w:tcPr>
          <w:p>
            <w:pPr>
              <w:pStyle w:val="TableContents"/>
              <w:bidi w:val="0"/>
              <w:spacing w:before="0" w:after="0"/>
              <w:jc w:val="left"/>
              <w:rPr/>
            </w:pPr>
            <w:r>
              <w:rPr/>
              <w:t xml:space="preserve">104 </w:t>
            </w:r>
          </w:p>
        </w:tc>
        <w:tc>
          <w:tcPr>
            <w:tcW w:w="146" w:type="dxa"/>
            <w:tcBorders/>
            <w:vAlign w:val="center"/>
          </w:tcPr>
          <w:p>
            <w:pPr>
              <w:pStyle w:val="TableContents"/>
              <w:bidi w:val="0"/>
              <w:spacing w:before="0" w:after="283"/>
              <w:jc w:val="left"/>
              <w:rPr/>
            </w:pPr>
            <w:r>
              <w:rPr/>
              <w:t> </w:t>
            </w:r>
          </w:p>
        </w:tc>
        <w:tc>
          <w:tcPr>
            <w:tcW w:w="8809" w:type="dxa"/>
            <w:tcBorders/>
            <w:vAlign w:val="center"/>
          </w:tcPr>
          <w:p>
            <w:pPr>
              <w:pStyle w:val="TableContents"/>
              <w:bidi w:val="0"/>
              <w:spacing w:before="0" w:after="0"/>
              <w:jc w:val="left"/>
              <w:rPr/>
            </w:pPr>
            <w:r>
              <w:rPr/>
              <w:t xml:space="preserve">Cover Page Interactive Data File - the cover page XBRL tags are embedded within the Inline XBRL document. </w:t>
            </w:r>
          </w:p>
        </w:tc>
      </w:tr>
    </w:tbl>
    <w:p>
      <w:pPr>
        <w:pStyle w:val="TextBody"/>
        <w:bidi w:val="0"/>
        <w:spacing w:before="0" w:after="0"/>
        <w:jc w:val="left"/>
        <w:rPr/>
      </w:pP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16"/>
        </w:rPr>
      </w:pPr>
      <w:r>
        <w:rPr>
          <w:rFonts w:ascii="Times New Roman" w:hAnsi="Times New Roman"/>
          <w:sz w:val="16"/>
        </w:rPr>
        <w:t>1</w:t>
      </w:r>
    </w:p>
    <w:p>
      <w:pPr>
        <w:pStyle w:val="HorizontalLine"/>
        <w:pBdr>
          <w:bottom w:val="double" w:sz="2" w:space="0" w:color="808080"/>
        </w:pBdr>
        <w:bidi w:val="0"/>
        <w:spacing w:before="0" w:after="283"/>
        <w:jc w:val="left"/>
        <w:rPr/>
      </w:pPr>
      <w:r>
        <w:rPr/>
      </w:r>
    </w:p>
    <w:p>
      <w:pPr>
        <w:pStyle w:val="HorizontalLine"/>
        <w:bidi w:val="0"/>
        <w:jc w:val="left"/>
        <w:rPr/>
      </w:pPr>
      <w:r>
        <w:rPr/>
      </w:r>
      <w:bookmarkStart w:id="4" w:name="ef20083658_ex99-1.htm"/>
      <w:bookmarkStart w:id="5" w:name="ksef20083658_ex991"/>
      <w:bookmarkStart w:id="6" w:name="ef20083658_ex99-1.htm"/>
      <w:bookmarkStart w:id="7" w:name="ksef20083658_ex991"/>
      <w:bookmarkEnd w:id="6"/>
      <w:bookmarkEnd w:id="7"/>
      <w:r>
        <w:br w:type="page"/>
      </w:r>
    </w:p>
    <w:p>
      <w:pPr>
        <w:pStyle w:val="TextBody"/>
        <w:bidi w:val="0"/>
        <w:spacing w:lineRule="atLeast" w:line="300" w:before="0" w:after="0"/>
        <w:jc w:val="right"/>
        <w:rPr>
          <w:b/>
        </w:rPr>
      </w:pPr>
      <w:r>
        <w:rPr>
          <w:b/>
        </w:rPr>
        <w:t>Exhibit 99.1</w:t>
      </w:r>
    </w:p>
    <w:p>
      <w:pPr>
        <w:pStyle w:val="TextBody"/>
        <w:bidi w:val="0"/>
        <w:spacing w:lineRule="atLeast" w:line="300" w:before="0" w:after="0"/>
        <w:jc w:val="center"/>
        <w:rPr/>
      </w:pPr>
      <w:r>
        <w:rPr/>
        <w:t> </w:t>
      </w:r>
    </w:p>
    <w:p>
      <w:pPr>
        <w:pStyle w:val="TextBody"/>
        <w:bidi w:val="0"/>
        <w:spacing w:lineRule="atLeast" w:line="300" w:before="0" w:after="0"/>
        <w:jc w:val="center"/>
        <w:rPr/>
      </w:pPr>
      <w:r>
        <w:rPr/>
        <w:drawing>
          <wp:inline distT="0" distB="0" distL="0" distR="0">
            <wp:extent cx="3071495" cy="1044575"/>
            <wp:effectExtent l="0" t="0" r="0" b="0"/>
            <wp:docPr id="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descr=""/>
                    <pic:cNvPicPr>
                      <a:picLocks noChangeAspect="1" noChangeArrowheads="1"/>
                    </pic:cNvPicPr>
                  </pic:nvPicPr>
                  <pic:blipFill>
                    <a:blip r:embed="rId2"/>
                    <a:stretch>
                      <a:fillRect/>
                    </a:stretch>
                  </pic:blipFill>
                  <pic:spPr bwMode="auto">
                    <a:xfrm>
                      <a:off x="0" y="0"/>
                      <a:ext cx="3071495" cy="1044575"/>
                    </a:xfrm>
                    <a:prstGeom prst="rect">
                      <a:avLst/>
                    </a:prstGeom>
                  </pic:spPr>
                </pic:pic>
              </a:graphicData>
            </a:graphic>
          </wp:inline>
        </w:drawing>
      </w:r>
      <w:r>
        <w:rPr/>
        <w:t xml:space="preserve"> </w:t>
      </w:r>
    </w:p>
    <w:p>
      <w:pPr>
        <w:pStyle w:val="TextBody"/>
        <w:bidi w:val="0"/>
        <w:spacing w:before="240" w:after="283"/>
        <w:jc w:val="center"/>
        <w:rPr>
          <w:b/>
        </w:rPr>
      </w:pPr>
      <w:r>
        <w:rPr>
          <w:b/>
        </w:rPr>
        <w:t xml:space="preserve">Ollie’s Bargain Outlet Holdings, Inc. Announces </w:t>
      </w:r>
    </w:p>
    <w:p>
      <w:pPr>
        <w:pStyle w:val="TextBody"/>
        <w:bidi w:val="0"/>
        <w:spacing w:before="0" w:after="0"/>
        <w:jc w:val="center"/>
        <w:rPr>
          <w:b/>
        </w:rPr>
      </w:pPr>
      <w:r>
        <w:rPr>
          <w:b/>
        </w:rPr>
        <w:t xml:space="preserve">$500 Million Share Repurchase Authorization </w:t>
      </w:r>
    </w:p>
    <w:p>
      <w:pPr>
        <w:pStyle w:val="TextBody"/>
        <w:bidi w:val="0"/>
        <w:spacing w:before="0" w:after="0"/>
        <w:jc w:val="center"/>
        <w:rPr/>
      </w:pPr>
      <w:r>
        <w:rPr/>
        <w:t xml:space="preserve">  </w:t>
      </w:r>
    </w:p>
    <w:p>
      <w:pPr>
        <w:pStyle w:val="TextBody"/>
        <w:bidi w:val="0"/>
        <w:spacing w:before="0" w:after="0"/>
        <w:jc w:val="both"/>
        <w:rPr/>
      </w:pPr>
      <w:r>
        <w:rPr>
          <w:b/>
        </w:rPr>
        <w:t>HARRISBURG, PA – October 13, 2026</w:t>
      </w:r>
      <w:r>
        <w:rPr/>
        <w:t xml:space="preserve"> – Ollie’s Bargain Outlet Holdings, Inc. (NASDAQ: OLLI) (the “Company”) today announced that its Board of Directors has unanimously approved a new share repurchase authorization for the repurchase of an additional $500 million of the Company’s outstanding common stock. Including the Company’s existing share repurchase authorization, the Company now has approximately $561 million of aggregate share repurchase capacity. </w:t>
      </w:r>
    </w:p>
    <w:p>
      <w:pPr>
        <w:pStyle w:val="TextBody"/>
        <w:bidi w:val="0"/>
        <w:spacing w:before="0" w:after="0"/>
        <w:jc w:val="both"/>
        <w:rPr/>
      </w:pPr>
      <w:r>
        <w:rPr/>
        <w:t xml:space="preserve">  </w:t>
      </w:r>
    </w:p>
    <w:p>
      <w:pPr>
        <w:pStyle w:val="TextBody"/>
        <w:bidi w:val="0"/>
        <w:spacing w:before="0" w:after="0"/>
        <w:jc w:val="both"/>
        <w:rPr/>
      </w:pPr>
      <w:r>
        <w:rPr/>
        <w:t>“</w:t>
      </w:r>
      <w:r>
        <w:rPr/>
        <w:t xml:space="preserve">This new authorization underscores our conviction in the substantial long-term growth opportunity ahead.  It also demonstrates our confidence in the durability of Ollie’s business model, our ability to generate substantial cash flow over time, and in the strength of our financial position,” said Eric van der Valk, President and Chief Executive Officer. “We remain committed to our capital allocation priorities, including investing in new stores, strengthening the capabilities and infrastructure to support our growth, maintaining financial flexibility, and returning excess capital to shareholders through disciplined share repurchases. We believe this authorization reflects our confidence in the future of our business with our focus on creating long-term shareholder value.” </w:t>
      </w:r>
    </w:p>
    <w:p>
      <w:pPr>
        <w:pStyle w:val="TextBody"/>
        <w:bidi w:val="0"/>
        <w:spacing w:before="0" w:after="0"/>
        <w:jc w:val="both"/>
        <w:rPr/>
      </w:pPr>
      <w:r>
        <w:rPr/>
        <w:t xml:space="preserve">  </w:t>
      </w:r>
    </w:p>
    <w:p>
      <w:pPr>
        <w:pStyle w:val="TextBody"/>
        <w:bidi w:val="0"/>
        <w:spacing w:before="0" w:after="0"/>
        <w:jc w:val="both"/>
        <w:rPr/>
      </w:pPr>
      <w:r>
        <w:rPr/>
        <w:t xml:space="preserve">Since initiating its share repurchase program in 2019, the Company has returned approximately $679 million to shareholders through share repurchases while continuing to invest in new stores, supply chain capacity, and its strategic growth initiatives. </w:t>
      </w:r>
    </w:p>
    <w:p>
      <w:pPr>
        <w:pStyle w:val="TextBody"/>
        <w:bidi w:val="0"/>
        <w:spacing w:before="0" w:after="0"/>
        <w:jc w:val="both"/>
        <w:rPr/>
      </w:pPr>
      <w:r>
        <w:rPr/>
        <w:t xml:space="preserve">  </w:t>
      </w:r>
    </w:p>
    <w:p>
      <w:pPr>
        <w:pStyle w:val="TextBody"/>
        <w:bidi w:val="0"/>
        <w:spacing w:before="0" w:after="0"/>
        <w:jc w:val="both"/>
        <w:rPr/>
      </w:pPr>
      <w:r>
        <w:rPr/>
        <w:t xml:space="preserve">This new authorization has no expiration date and provides the Company with flexibility to execute repurchases over time, either through open market transactions, privately negotiated transactions, Rule 10b5-1 trading plans, or other permissible means, all at the Company’s discretion. The share repurchase program does not obligate the Company to repurchase any common stock and the program may be suspended, modified, or discontinued at any time. </w:t>
      </w:r>
    </w:p>
    <w:p>
      <w:pPr>
        <w:pStyle w:val="TextBody"/>
        <w:bidi w:val="0"/>
        <w:spacing w:before="0" w:after="0"/>
        <w:jc w:val="both"/>
        <w:rPr/>
      </w:pPr>
      <w:r>
        <w:rPr/>
        <w:t xml:space="preserve">  </w:t>
      </w:r>
    </w:p>
    <w:p>
      <w:pPr>
        <w:pStyle w:val="TextBody"/>
        <w:bidi w:val="0"/>
        <w:spacing w:before="0" w:after="0"/>
        <w:jc w:val="left"/>
        <w:rPr/>
      </w:pPr>
      <w:r>
        <w:rPr>
          <w:b/>
        </w:rPr>
        <w:t>About Ollie’s</w:t>
      </w:r>
      <w:r>
        <w:rPr/>
        <w:t xml:space="preserve"> </w:t>
      </w:r>
    </w:p>
    <w:p>
      <w:pPr>
        <w:pStyle w:val="TextBody"/>
        <w:bidi w:val="0"/>
        <w:spacing w:lineRule="atLeast" w:line="240" w:before="120" w:after="283"/>
        <w:jc w:val="both"/>
        <w:rPr/>
      </w:pPr>
      <w:r>
        <w:rPr/>
        <w:t xml:space="preserve">Ollie’s is a leading off-price retailer of brand-name household products. Since our founding in 1982, our mission has been to sell Good Stuff Cheap®. We do this through a flexible buying model that focuses on closeout merchandise and excess inventory from suppliers and manufacturers around the world. Our stores offer Real Brands! Real Bargains!® in a treasure hunt environment at prices up to 70% below traditional retailers. As of August 1, 2026, we operated 686 stores in 36 states and growing! For more information, visit </w:t>
      </w:r>
      <w:r>
        <w:rPr>
          <w:u w:val="single"/>
        </w:rPr>
        <w:t>www.ollies.com</w:t>
      </w:r>
      <w:r>
        <w:rPr/>
        <w:t xml:space="preserve">. </w:t>
      </w:r>
    </w:p>
    <w:p>
      <w:pPr>
        <w:pStyle w:val="TextBody"/>
        <w:bidi w:val="0"/>
        <w:spacing w:before="0" w:after="0"/>
        <w:jc w:val="both"/>
        <w:rPr/>
      </w:pPr>
      <w:r>
        <w:rPr/>
        <w:t> </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w:t>
      </w:r>
    </w:p>
    <w:p>
      <w:pPr>
        <w:pStyle w:val="HorizontalLine"/>
        <w:bidi w:val="0"/>
        <w:spacing w:before="200" w:after="200"/>
        <w:jc w:val="left"/>
        <w:rPr/>
      </w:pPr>
      <w:r>
        <w:rPr/>
      </w:r>
    </w:p>
    <w:p>
      <w:pPr>
        <w:pStyle w:val="TextBody"/>
        <w:bidi w:val="0"/>
        <w:spacing w:before="200" w:after="20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r>
        <w:rPr>
          <w:caps w:val="false"/>
          <w:smallCaps w:val="false"/>
          <w:strike w:val="false"/>
          <w:dstrike w:val="false"/>
          <w:u w:val="none"/>
          <w:effect w:val="none"/>
        </w:rPr>
        <w:drawing>
          <wp:inline distT="0" distB="0" distL="0" distR="0">
            <wp:extent cx="1696720" cy="577215"/>
            <wp:effectExtent l="0" t="0" r="0" b="0"/>
            <wp:docPr id="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 descr=""/>
                    <pic:cNvPicPr>
                      <a:picLocks noChangeAspect="1" noChangeArrowheads="1"/>
                    </pic:cNvPicPr>
                  </pic:nvPicPr>
                  <pic:blipFill>
                    <a:blip r:embed="rId3"/>
                    <a:stretch>
                      <a:fillRect/>
                    </a:stretch>
                  </pic:blipFill>
                  <pic:spPr bwMode="auto">
                    <a:xfrm>
                      <a:off x="0" y="0"/>
                      <a:ext cx="1696720" cy="577215"/>
                    </a:xfrm>
                    <a:prstGeom prst="rect">
                      <a:avLst/>
                    </a:prstGeom>
                  </pic:spPr>
                </pic:pic>
              </a:graphicData>
            </a:graphic>
          </wp:inline>
        </w:drawing>
      </w:r>
    </w:p>
    <w:p>
      <w:pPr>
        <w:pStyle w:val="TextBody"/>
        <w:bidi w:val="0"/>
        <w:spacing w:before="0" w:after="0"/>
        <w:jc w:val="left"/>
        <w:rPr/>
      </w:pPr>
      <w:r>
        <w:rPr/>
        <w:t> </w:t>
      </w:r>
    </w:p>
    <w:p>
      <w:pPr>
        <w:pStyle w:val="TextBody"/>
        <w:bidi w:val="0"/>
        <w:spacing w:before="0" w:after="0"/>
        <w:jc w:val="left"/>
        <w:rPr/>
      </w:pPr>
      <w:r>
        <w:rPr>
          <w:b/>
        </w:rPr>
        <w:t>Forward-Looking Statements</w:t>
      </w:r>
      <w:r>
        <w:rPr/>
        <w:t xml:space="preserve"> </w:t>
      </w:r>
    </w:p>
    <w:p>
      <w:pPr>
        <w:pStyle w:val="TextBody"/>
        <w:bidi w:val="0"/>
        <w:spacing w:lineRule="atLeast" w:line="240" w:before="120" w:after="283"/>
        <w:jc w:val="both"/>
        <w:rPr/>
      </w:pPr>
      <w:r>
        <w:rPr/>
        <w:t>Statements in this press release may contain statements that constitute “forward-looking statements” within the meaning of the Private Securities Litigation Reform Act of 1995. Words such as “will,” “expect,” “anticipate,” “intend,” “may,” “could,” “should,” “plan,” “project,” “forecast,” “believe,” “estimate,” “guidance,” “outlook,” “trends,” “goals” and similar expressions generally identify these forward-looking statements. Forward-looking statements are based on the Company’s current expectations and assumptions regarding its business, capital market conditions, the economy and other future conditions. Because forward-looking statements relate to the future, by their nature, they are subject to inherent uncertainties, risks and changes in circumstances that are difficult to predict. As a result, the Company’s actual results may differ materially from those contemplated by the forward-looking statements. Factors or events that could cause the Company’s actual results to differ may emerge from time to time, and it is not possible for the Company to predict all of them. Any forward-looking statements made by the Company in this press release speak only as of the date on which they were made. The Company undertakes no obligation to publicly update or revise any forward-looking statement, whether as a result of new information, future developments or otherwise, except as may be required by law.</w:t>
      </w:r>
    </w:p>
    <w:p>
      <w:pPr>
        <w:pStyle w:val="TextBody"/>
        <w:bidi w:val="0"/>
        <w:spacing w:before="0" w:after="0"/>
        <w:jc w:val="left"/>
        <w:rPr/>
      </w:pPr>
      <w:r>
        <w:rPr/>
        <w:t> </w:t>
      </w:r>
    </w:p>
    <w:p>
      <w:pPr>
        <w:pStyle w:val="TextBody"/>
        <w:bidi w:val="0"/>
        <w:spacing w:before="0" w:after="0"/>
        <w:jc w:val="left"/>
        <w:rPr>
          <w:b/>
        </w:rPr>
      </w:pPr>
      <w:r>
        <w:rPr>
          <w:b/>
        </w:rPr>
        <w:t xml:space="preserve">Investor Contact </w:t>
      </w:r>
    </w:p>
    <w:p>
      <w:pPr>
        <w:pStyle w:val="TextBody"/>
        <w:bidi w:val="0"/>
        <w:spacing w:lineRule="atLeast" w:line="240" w:before="120" w:after="283"/>
        <w:jc w:val="left"/>
        <w:rPr/>
      </w:pPr>
      <w:r>
        <w:rPr/>
        <w:t xml:space="preserve">John Rouleau </w:t>
      </w:r>
    </w:p>
    <w:p>
      <w:pPr>
        <w:pStyle w:val="TextBody"/>
        <w:bidi w:val="0"/>
        <w:spacing w:before="0" w:after="0"/>
        <w:jc w:val="left"/>
        <w:rPr/>
      </w:pPr>
      <w:r>
        <w:rPr/>
        <w:t xml:space="preserve">Managing Director, Corporate Communication &amp; Business Development </w:t>
      </w:r>
    </w:p>
    <w:p>
      <w:pPr>
        <w:pStyle w:val="TextBody"/>
        <w:bidi w:val="0"/>
        <w:spacing w:before="0" w:after="0"/>
        <w:jc w:val="left"/>
        <w:rPr/>
      </w:pPr>
      <w:r>
        <w:rPr>
          <w:u w:val="single"/>
        </w:rPr>
        <w:t>JRouleau@ollies.us</w:t>
      </w:r>
      <w:r>
        <w:rPr>
          <w:color w:val="0000FF"/>
          <w:u w:val="single"/>
        </w:rPr>
        <w:t>  </w:t>
      </w:r>
      <w:r>
        <w:rPr/>
        <w:t xml:space="preserve"> </w:t>
      </w:r>
    </w:p>
    <w:p>
      <w:pPr>
        <w:pStyle w:val="TextBody"/>
        <w:bidi w:val="0"/>
        <w:spacing w:before="0" w:after="0"/>
        <w:jc w:val="left"/>
        <w:rPr/>
      </w:pPr>
      <w:r>
        <w:rPr/>
        <w:t xml:space="preserve">  </w:t>
      </w:r>
    </w:p>
    <w:p>
      <w:pPr>
        <w:pStyle w:val="TextBody"/>
        <w:bidi w:val="0"/>
        <w:spacing w:before="0" w:after="0"/>
        <w:jc w:val="left"/>
        <w:rPr/>
      </w:pPr>
      <w:r>
        <w:rPr>
          <w:b/>
        </w:rPr>
        <w:t>Media Contact</w:t>
      </w:r>
      <w:r>
        <w:rPr/>
        <w:t xml:space="preserve"> </w:t>
      </w:r>
    </w:p>
    <w:p>
      <w:pPr>
        <w:pStyle w:val="TextBody"/>
        <w:bidi w:val="0"/>
        <w:spacing w:lineRule="atLeast" w:line="240" w:before="120" w:after="283"/>
        <w:jc w:val="left"/>
        <w:rPr/>
      </w:pPr>
      <w:r>
        <w:rPr/>
        <w:t xml:space="preserve">Tom Kuypers </w:t>
      </w:r>
    </w:p>
    <w:p>
      <w:pPr>
        <w:pStyle w:val="TextBody"/>
        <w:bidi w:val="0"/>
        <w:spacing w:before="0" w:after="0"/>
        <w:jc w:val="left"/>
        <w:rPr/>
      </w:pPr>
      <w:r>
        <w:rPr/>
        <w:t xml:space="preserve">Senior Vice President, Marketing </w:t>
      </w:r>
    </w:p>
    <w:p>
      <w:pPr>
        <w:pStyle w:val="TextBody"/>
        <w:bidi w:val="0"/>
        <w:spacing w:before="0" w:after="0"/>
        <w:jc w:val="left"/>
        <w:rPr/>
      </w:pPr>
      <w:r>
        <w:rPr>
          <w:u w:val="single"/>
        </w:rPr>
        <w:t>tkuypers@ollies.us</w:t>
      </w:r>
      <w:r>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right"/>
        <w:rPr>
          <w:sz w:val="16"/>
        </w:rPr>
      </w:pPr>
      <w:r>
        <w:rPr>
          <w:sz w:val="16"/>
        </w:rPr>
        <w:t>2 | Page</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NewRoman">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gif"/><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1388</Words>
  <Characters>8066</Characters>
  <CharactersWithSpaces>9589</CharactersWithSpaces>
  <Paragraphs>213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