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June 3,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earliest event reported)</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Ollie's Bargain Outlet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716280</wp:posOffset>
            </wp:positionH>
            <wp:positionV relativeFrom="paragraph">
              <wp:posOffset>35560</wp:posOffset>
            </wp:positionV>
            <wp:extent cx="570928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09285" cy="17145"/>
                    </a:xfrm>
                    <a:prstGeom prst="rect">
                      <a:avLst/>
                    </a:prstGeom>
                    <a:noFill/>
                  </pic:spPr>
                </pic:pic>
              </a:graphicData>
            </a:graphic>
          </wp:anchor>
        </w:drawing>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716280</wp:posOffset>
            </wp:positionH>
            <wp:positionV relativeFrom="paragraph">
              <wp:posOffset>19685</wp:posOffset>
            </wp:positionV>
            <wp:extent cx="570928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09285"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21" w:lineRule="exact"/>
        <w:rPr>
          <w:sz w:val="24"/>
          <w:szCs w:val="24"/>
          <w:color w:val="auto"/>
        </w:rPr>
      </w:pPr>
    </w:p>
    <w:tbl>
      <w:tblPr>
        <w:tblLayout w:type="fixed"/>
        <w:tblInd w:w="1320" w:type="dxa"/>
        <w:tblCellMar>
          <w:top w:w="0" w:type="dxa"/>
          <w:left w:w="0" w:type="dxa"/>
          <w:bottom w:w="0" w:type="dxa"/>
          <w:right w:w="0" w:type="dxa"/>
        </w:tblCellMar>
      </w:tblPr>
      <w:tr>
        <w:trPr>
          <w:trHeight w:val="220"/>
        </w:trPr>
        <w:tc>
          <w:tcPr>
            <w:tcW w:w="330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001-37501</w:t>
            </w:r>
          </w:p>
        </w:tc>
        <w:tc>
          <w:tcPr>
            <w:tcW w:w="512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80-0848819</w:t>
            </w:r>
          </w:p>
        </w:tc>
      </w:tr>
      <w:tr>
        <w:trPr>
          <w:trHeight w:val="234"/>
        </w:trPr>
        <w:tc>
          <w:tcPr>
            <w:tcW w:w="33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5120" w:type="dxa"/>
            <w:vAlign w:val="bottom"/>
          </w:tcPr>
          <w:p>
            <w:pPr>
              <w:jc w:val="center"/>
              <w:ind w:left="255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0"/>
        </w:trPr>
        <w:tc>
          <w:tcPr>
            <w:tcW w:w="330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6295 Allentown Boulevard</w:t>
            </w:r>
          </w:p>
        </w:tc>
        <w:tc>
          <w:tcPr>
            <w:tcW w:w="5120" w:type="dxa"/>
            <w:vAlign w:val="bottom"/>
          </w:tcPr>
          <w:p>
            <w:pPr>
              <w:spacing w:after="0"/>
              <w:rPr>
                <w:sz w:val="24"/>
                <w:szCs w:val="24"/>
                <w:color w:val="auto"/>
              </w:rPr>
            </w:pPr>
          </w:p>
        </w:tc>
      </w:tr>
      <w:tr>
        <w:trPr>
          <w:trHeight w:val="216"/>
        </w:trPr>
        <w:tc>
          <w:tcPr>
            <w:tcW w:w="330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Suite 1</w:t>
            </w:r>
          </w:p>
        </w:tc>
        <w:tc>
          <w:tcPr>
            <w:tcW w:w="5120" w:type="dxa"/>
            <w:vAlign w:val="bottom"/>
          </w:tcPr>
          <w:p>
            <w:pPr>
              <w:spacing w:after="0"/>
              <w:rPr>
                <w:sz w:val="18"/>
                <w:szCs w:val="18"/>
                <w:color w:val="auto"/>
              </w:rPr>
            </w:pPr>
          </w:p>
        </w:tc>
      </w:tr>
      <w:tr>
        <w:trPr>
          <w:trHeight w:val="220"/>
        </w:trPr>
        <w:tc>
          <w:tcPr>
            <w:tcW w:w="330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Harrisburg, Pennsylvania</w:t>
            </w:r>
          </w:p>
        </w:tc>
        <w:tc>
          <w:tcPr>
            <w:tcW w:w="5120" w:type="dxa"/>
            <w:vAlign w:val="bottom"/>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17112</w:t>
            </w:r>
          </w:p>
        </w:tc>
      </w:tr>
      <w:tr>
        <w:trPr>
          <w:trHeight w:val="212"/>
        </w:trPr>
        <w:tc>
          <w:tcPr>
            <w:tcW w:w="33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5120" w:type="dxa"/>
            <w:vAlign w:val="bottom"/>
          </w:tcPr>
          <w:p>
            <w:pPr>
              <w:jc w:val="center"/>
              <w:ind w:left="2510"/>
              <w:spacing w:after="0"/>
              <w:rPr>
                <w:sz w:val="20"/>
                <w:szCs w:val="20"/>
                <w:color w:val="auto"/>
              </w:rPr>
            </w:pPr>
            <w:r>
              <w:rPr>
                <w:rFonts w:ascii="Times New Roman" w:cs="Times New Roman" w:eastAsia="Times New Roman" w:hAnsi="Times New Roman"/>
                <w:sz w:val="18"/>
                <w:szCs w:val="18"/>
                <w:color w:val="auto"/>
              </w:rPr>
              <w:t>(Zip Code)</w:t>
            </w:r>
          </w:p>
        </w:tc>
      </w:tr>
      <w:tr>
        <w:trPr>
          <w:trHeight w:val="238"/>
        </w:trPr>
        <w:tc>
          <w:tcPr>
            <w:tcW w:w="3300" w:type="dxa"/>
            <w:vAlign w:val="bottom"/>
          </w:tcPr>
          <w:p>
            <w:pPr>
              <w:spacing w:after="0"/>
              <w:rPr>
                <w:sz w:val="20"/>
                <w:szCs w:val="20"/>
                <w:color w:val="auto"/>
              </w:rPr>
            </w:pPr>
          </w:p>
        </w:tc>
        <w:tc>
          <w:tcPr>
            <w:tcW w:w="5120" w:type="dxa"/>
            <w:vAlign w:val="bottom"/>
          </w:tcPr>
          <w:p>
            <w:pPr>
              <w:jc w:val="right"/>
              <w:ind w:right="3470"/>
              <w:spacing w:after="0"/>
              <w:rPr>
                <w:sz w:val="20"/>
                <w:szCs w:val="20"/>
                <w:color w:val="auto"/>
              </w:rPr>
            </w:pPr>
            <w:r>
              <w:rPr>
                <w:rFonts w:ascii="Times New Roman" w:cs="Times New Roman" w:eastAsia="Times New Roman" w:hAnsi="Times New Roman"/>
                <w:sz w:val="18"/>
                <w:szCs w:val="18"/>
                <w:b w:val="1"/>
                <w:bCs w:val="1"/>
                <w:color w:val="auto"/>
              </w:rPr>
              <w:t>(717) 657-2300</w:t>
            </w: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25" w:lineRule="exact"/>
        <w:rPr>
          <w:sz w:val="24"/>
          <w:szCs w:val="24"/>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1"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447"/>
        </w:trPr>
        <w:tc>
          <w:tcPr>
            <w:tcW w:w="40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Title of Each Class</w:t>
            </w:r>
          </w:p>
        </w:tc>
        <w:tc>
          <w:tcPr>
            <w:tcW w:w="23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4840" w:type="dxa"/>
            <w:vAlign w:val="bottom"/>
            <w:tcBorders>
              <w:top w:val="single" w:sz="8" w:color="auto"/>
              <w:bottom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439"/>
        </w:trPr>
        <w:tc>
          <w:tcPr>
            <w:tcW w:w="40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OLLI</w:t>
            </w:r>
          </w:p>
        </w:tc>
        <w:tc>
          <w:tcPr>
            <w:tcW w:w="4840" w:type="dxa"/>
            <w:vAlign w:val="bottom"/>
            <w:tcBorders>
              <w:bottom w:val="single" w:sz="8" w:color="auto"/>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8"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On June 3, 2026, Ollie’s Bargain Outlet Holdings, Inc. (the “Company”) issued a press release announcing its financial results for the quarter ended May 2, 2026. A copy of the press release is furnished as Exhibit 99.1 to this current report and is incorporated by reference herein.</w:t>
      </w:r>
    </w:p>
    <w:p>
      <w:pPr>
        <w:spacing w:after="0" w:line="162"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information furnished in this Item 2.02 of on this Form 8-K, including the exhibit attached,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regardless of any general incorporation language in such filing.</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 The following exhibits are filed with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40" w:type="dxa"/>
            <w:vAlign w:val="bottom"/>
          </w:tcPr>
          <w:p>
            <w:pPr>
              <w:spacing w:after="0"/>
              <w:rPr>
                <w:sz w:val="22"/>
                <w:szCs w:val="22"/>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480" w:type="dxa"/>
            <w:vAlign w:val="bottom"/>
          </w:tcPr>
          <w:p>
            <w:pPr>
              <w:ind w:left="43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8"/>
        </w:trPr>
        <w:tc>
          <w:tcPr>
            <w:tcW w:w="340" w:type="dxa"/>
            <w:vAlign w:val="bottom"/>
          </w:tcPr>
          <w:p>
            <w:pPr>
              <w:spacing w:after="0"/>
              <w:rPr>
                <w:sz w:val="17"/>
                <w:szCs w:val="17"/>
                <w:color w:val="auto"/>
              </w:rPr>
            </w:pPr>
          </w:p>
        </w:tc>
        <w:tc>
          <w:tcPr>
            <w:tcW w:w="13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7"/>
                <w:szCs w:val="17"/>
                <w:color w:val="auto"/>
              </w:rPr>
            </w:pPr>
          </w:p>
        </w:tc>
        <w:tc>
          <w:tcPr>
            <w:tcW w:w="94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Press Release issued on June 3, 2026 of Ollie’s Bargain Outlet Holdings, Inc.</w:t>
            </w:r>
          </w:p>
        </w:tc>
      </w:tr>
      <w:tr>
        <w:trPr>
          <w:trHeight w:val="234"/>
        </w:trPr>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398"/>
        </w:trPr>
        <w:tc>
          <w:tcPr>
            <w:tcW w:w="3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OLLIE’S BARGAIN OUTLET HOLDINGS,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Robert Helm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33432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24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Robert Helm</w:t>
      </w:r>
    </w:p>
    <w:p>
      <w:pPr>
        <w:spacing w:after="0" w:line="27"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and</w:t>
      </w:r>
    </w:p>
    <w:p>
      <w:pPr>
        <w:spacing w:after="0" w:line="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20" w:type="dxa"/>
            <w:vAlign w:val="bottom"/>
          </w:tcPr>
          <w:p>
            <w:pPr>
              <w:ind w:left="31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53"/>
        </w:trPr>
        <w:tc>
          <w:tcPr>
            <w:tcW w:w="1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420" w:type="dxa"/>
            <w:vAlign w:val="bottom"/>
          </w:tcPr>
          <w:p>
            <w:pPr>
              <w:ind w:left="42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700" w:type="dxa"/>
            <w:vAlign w:val="bottom"/>
            <w:tcBorders>
              <w:top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20" w:type="dxa"/>
            <w:vAlign w:val="bottom"/>
          </w:tcPr>
          <w:p>
            <w:pPr>
              <w:spacing w:after="0"/>
              <w:rPr>
                <w:sz w:val="15"/>
                <w:szCs w:val="15"/>
                <w:color w:val="auto"/>
              </w:rPr>
            </w:pPr>
          </w:p>
        </w:tc>
        <w:tc>
          <w:tcPr>
            <w:tcW w:w="942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Press Release issued on June 3, 2026 of Ollie’s Bargain Outlet Holdings, Inc.</w:t>
            </w:r>
          </w:p>
        </w:tc>
      </w:tr>
      <w:tr>
        <w:trPr>
          <w:trHeight w:val="237"/>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533"/>
        </w:trPr>
        <w:tc>
          <w:tcPr>
            <w:tcW w:w="3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164465</wp:posOffset>
            </wp:positionV>
            <wp:extent cx="2691765" cy="9086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9176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Ollie’s Bargain Outlet Holdings, Inc. Announces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First Quarter Fiscal 2026 Results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Earnings Ahead of Expectations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Net Sales Increased 14%, Earnings Per Share Increased 19%,</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and Adjusted Earnings Per Share Increased 21%</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Raising Fiscal 2026 Earnings Per Share Outlook</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HARRISBURG, PA – June 3, 2026 </w:t>
      </w:r>
      <w:r>
        <w:rPr>
          <w:rFonts w:ascii="Times New Roman" w:cs="Times New Roman" w:eastAsia="Times New Roman" w:hAnsi="Times New Roman"/>
          <w:sz w:val="18"/>
          <w:szCs w:val="18"/>
          <w:color w:val="auto"/>
        </w:rPr>
        <w:t>– Ollie’s Bargain Outlet Holdings, Inc. (NASDAQ: OLLI) (the “Company”) today announced financial results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quarter ended May 2, 2026.</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very pleased with our first quarter results and the outstanding performance of our team,” said Eric van der Valk, President and Chief Executive Officer. “We delivered strong earnings growth driven by solid top line results and unit growth, robust margins, and disciplined expense control. These results underscore the durability of our business model, the strength of our value proposition, and our ability to execute through a challenging consumer backdrop.”</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van der Valk continued, “On top of delivering strong earnings growth in the quarter, we continue to execute well against our strategic initiatives. We opened 27 new stores, grew our Ollie’s Army membership base by 13%, made progress on our category productivity initiatives, reinvested in our supply chain, and returned $53 million to shareholders through share repurchases in the first quarter. Based on our solid start to the year, we are raising our earnings per share outlook for fiscal 2026.”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60" w:type="dxa"/>
            <w:vAlign w:val="bottom"/>
            <w:gridSpan w:val="4"/>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194"/>
        </w:trPr>
        <w:tc>
          <w:tcPr>
            <w:tcW w:w="86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410"/>
              <w:spacing w:after="0" w:line="194" w:lineRule="exact"/>
              <w:rPr>
                <w:sz w:val="20"/>
                <w:szCs w:val="20"/>
                <w:color w:val="auto"/>
              </w:rPr>
            </w:pPr>
            <w:r>
              <w:rPr>
                <w:rFonts w:ascii="Times New Roman" w:cs="Times New Roman" w:eastAsia="Times New Roman" w:hAnsi="Times New Roman"/>
                <w:sz w:val="18"/>
                <w:szCs w:val="18"/>
                <w:b w:val="1"/>
                <w:bCs w:val="1"/>
                <w:color w:val="auto"/>
              </w:rPr>
              <w:t>May 2,</w:t>
            </w: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210"/>
              <w:spacing w:after="0" w:line="194" w:lineRule="exact"/>
              <w:rPr>
                <w:sz w:val="20"/>
                <w:szCs w:val="20"/>
                <w:color w:val="auto"/>
              </w:rPr>
            </w:pPr>
            <w:r>
              <w:rPr>
                <w:rFonts w:ascii="Times New Roman" w:cs="Times New Roman" w:eastAsia="Times New Roman" w:hAnsi="Times New Roman"/>
                <w:sz w:val="18"/>
                <w:szCs w:val="18"/>
                <w:b w:val="1"/>
                <w:bCs w:val="1"/>
                <w:color w:val="auto"/>
              </w:rPr>
              <w:t>May 3,</w:t>
            </w:r>
          </w:p>
        </w:tc>
        <w:tc>
          <w:tcPr>
            <w:tcW w:w="160" w:type="dxa"/>
            <w:vAlign w:val="bottom"/>
          </w:tcPr>
          <w:p>
            <w:pPr>
              <w:spacing w:after="0"/>
              <w:rPr>
                <w:sz w:val="16"/>
                <w:szCs w:val="16"/>
                <w:color w:val="auto"/>
              </w:rPr>
            </w:pPr>
          </w:p>
        </w:tc>
      </w:tr>
      <w:tr>
        <w:trPr>
          <w:trHeight w:val="245"/>
        </w:trPr>
        <w:tc>
          <w:tcPr>
            <w:tcW w:w="8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658,928</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576,767</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Yr/yr change</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86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Comparable store sales change </w:t>
            </w:r>
            <w:r>
              <w:rPr>
                <w:rFonts w:ascii="Times New Roman" w:cs="Times New Roman" w:eastAsia="Times New Roman" w:hAnsi="Times New Roman"/>
                <w:sz w:val="25"/>
                <w:szCs w:val="25"/>
                <w:color w:val="auto"/>
                <w:vertAlign w:val="superscript"/>
              </w:rPr>
              <w:t>(1)</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56,400</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47,560</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diluted share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0.92</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0.77</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 per diluted share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0.91</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0.75</w:t>
            </w: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Yr/yr change</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87,892</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72,159</w:t>
            </w: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of net sales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Store openings</w:t>
            </w:r>
          </w:p>
        </w:tc>
        <w:tc>
          <w:tcPr>
            <w:tcW w:w="18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growth, yr/yr change</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13.2%</w:t>
            </w:r>
          </w:p>
        </w:tc>
      </w:tr>
    </w:tbl>
    <w:p>
      <w:pPr>
        <w:spacing w:after="0" w:line="87" w:lineRule="exact"/>
        <w:rPr>
          <w:sz w:val="20"/>
          <w:szCs w:val="20"/>
          <w:color w:val="auto"/>
        </w:rPr>
      </w:pPr>
    </w:p>
    <w:p>
      <w:pPr>
        <w:ind w:left="360" w:hanging="352"/>
        <w:spacing w:after="0"/>
        <w:tabs>
          <w:tab w:leader="none" w:pos="360"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Calculated based on the comparable number of weeks from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23035" cy="4800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423035" cy="480060"/>
                    </a:xfrm>
                    <a:prstGeom prst="rect">
                      <a:avLst/>
                    </a:prstGeom>
                    <a:noFill/>
                  </pic:spPr>
                </pic:pic>
              </a:graphicData>
            </a:graphic>
          </wp:anchor>
        </w:drawing>
        <w:t>First Quarter 2026 Highlights and Year-Over-Year Comparisons</w:t>
      </w:r>
    </w:p>
    <w:p>
      <w:pPr>
        <w:spacing w:after="0" w:line="229" w:lineRule="exact"/>
        <w:rPr>
          <w:sz w:val="20"/>
          <w:szCs w:val="20"/>
          <w:color w:val="auto"/>
        </w:rPr>
      </w:pPr>
    </w:p>
    <w:p>
      <w:pPr>
        <w:ind w:left="600" w:hanging="328"/>
        <w:spacing w:after="0"/>
        <w:tabs>
          <w:tab w:leader="none" w:pos="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Opened 27 new stores and ended the quarter with 672 stores in 35 states, an increase of 15.1%.</w:t>
      </w:r>
    </w:p>
    <w:p>
      <w:pPr>
        <w:spacing w:after="0" w:line="225" w:lineRule="exact"/>
        <w:rPr>
          <w:rFonts w:ascii="Times New Roman" w:cs="Times New Roman" w:eastAsia="Times New Roman" w:hAnsi="Times New Roman"/>
          <w:sz w:val="18"/>
          <w:szCs w:val="18"/>
          <w:color w:val="auto"/>
        </w:rPr>
      </w:pPr>
    </w:p>
    <w:p>
      <w:pPr>
        <w:ind w:left="600" w:hanging="328"/>
        <w:spacing w:after="0"/>
        <w:tabs>
          <w:tab w:leader="none" w:pos="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Ollie’s Army loyalty members increased 12.6% to 17.5 million members.</w:t>
      </w:r>
    </w:p>
    <w:p>
      <w:pPr>
        <w:spacing w:after="0" w:line="225" w:lineRule="exact"/>
        <w:rPr>
          <w:rFonts w:ascii="Times New Roman" w:cs="Times New Roman" w:eastAsia="Times New Roman" w:hAnsi="Times New Roman"/>
          <w:sz w:val="18"/>
          <w:szCs w:val="18"/>
          <w:color w:val="auto"/>
        </w:rPr>
      </w:pPr>
    </w:p>
    <w:p>
      <w:pPr>
        <w:ind w:left="600" w:hanging="328"/>
        <w:spacing w:after="0"/>
        <w:tabs>
          <w:tab w:leader="none" w:pos="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increased 14.2% to $658.9 million, driven by new store unit growth and an increase in comparable store sales.</w:t>
      </w:r>
    </w:p>
    <w:p>
      <w:pPr>
        <w:spacing w:after="0" w:line="225" w:lineRule="exact"/>
        <w:rPr>
          <w:rFonts w:ascii="Times New Roman" w:cs="Times New Roman" w:eastAsia="Times New Roman" w:hAnsi="Times New Roman"/>
          <w:sz w:val="18"/>
          <w:szCs w:val="18"/>
          <w:color w:val="auto"/>
        </w:rPr>
      </w:pPr>
    </w:p>
    <w:p>
      <w:pPr>
        <w:ind w:left="600" w:hanging="328"/>
        <w:spacing w:after="0"/>
        <w:tabs>
          <w:tab w:leader="none" w:pos="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store sales increased 1.7%, driven primarily by an increase in basket.</w:t>
      </w:r>
    </w:p>
    <w:p>
      <w:pPr>
        <w:spacing w:after="0" w:line="225" w:lineRule="exact"/>
        <w:rPr>
          <w:rFonts w:ascii="Times New Roman" w:cs="Times New Roman" w:eastAsia="Times New Roman" w:hAnsi="Times New Roman"/>
          <w:sz w:val="18"/>
          <w:szCs w:val="18"/>
          <w:color w:val="auto"/>
        </w:rPr>
      </w:pPr>
    </w:p>
    <w:p>
      <w:pPr>
        <w:ind w:left="600" w:hanging="328"/>
        <w:spacing w:after="0" w:line="282" w:lineRule="auto"/>
        <w:tabs>
          <w:tab w:leader="none" w:pos="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increased 80 basis points to 41.9%. This was above our expectation and driven by lower supply chain costs and a modest increase in merchandise margin.</w:t>
      </w:r>
    </w:p>
    <w:p>
      <w:pPr>
        <w:spacing w:after="0" w:line="161" w:lineRule="exact"/>
        <w:rPr>
          <w:rFonts w:ascii="Times New Roman" w:cs="Times New Roman" w:eastAsia="Times New Roman" w:hAnsi="Times New Roman"/>
          <w:sz w:val="18"/>
          <w:szCs w:val="18"/>
          <w:color w:val="auto"/>
        </w:rPr>
      </w:pPr>
    </w:p>
    <w:p>
      <w:pPr>
        <w:ind w:left="600" w:hanging="328"/>
        <w:spacing w:after="0"/>
        <w:tabs>
          <w:tab w:leader="none" w:pos="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(“SG&amp;A”) expenses as a percentage of net sales was flat at 28.6%.</w:t>
      </w:r>
    </w:p>
    <w:p>
      <w:pPr>
        <w:spacing w:after="0" w:line="225" w:lineRule="exact"/>
        <w:rPr>
          <w:rFonts w:ascii="Times New Roman" w:cs="Times New Roman" w:eastAsia="Times New Roman" w:hAnsi="Times New Roman"/>
          <w:sz w:val="18"/>
          <w:szCs w:val="18"/>
          <w:color w:val="auto"/>
        </w:rPr>
      </w:pPr>
    </w:p>
    <w:p>
      <w:pPr>
        <w:ind w:left="600" w:right="20" w:hanging="328"/>
        <w:spacing w:after="0" w:line="282" w:lineRule="auto"/>
        <w:tabs>
          <w:tab w:leader="none" w:pos="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Pre-opening expenses decreased 3.2% to $6.4 million, primarily driven by lower dark rent expense associated with the bankruptcy acquired stores, partially offset by an increase in store openings.</w:t>
      </w:r>
    </w:p>
    <w:p>
      <w:pPr>
        <w:spacing w:after="0" w:line="161" w:lineRule="exact"/>
        <w:rPr>
          <w:rFonts w:ascii="Times New Roman" w:cs="Times New Roman" w:eastAsia="Times New Roman" w:hAnsi="Times New Roman"/>
          <w:sz w:val="18"/>
          <w:szCs w:val="18"/>
          <w:color w:val="auto"/>
        </w:rPr>
      </w:pPr>
    </w:p>
    <w:p>
      <w:pPr>
        <w:ind w:left="600" w:hanging="328"/>
        <w:spacing w:after="0"/>
        <w:tabs>
          <w:tab w:leader="none" w:pos="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increased 21.3% to $55.9 million and adjusted net income per diluted share increased 21.3% to $0.91.</w:t>
      </w:r>
    </w:p>
    <w:p>
      <w:pPr>
        <w:spacing w:after="0" w:line="225" w:lineRule="exact"/>
        <w:rPr>
          <w:rFonts w:ascii="Times New Roman" w:cs="Times New Roman" w:eastAsia="Times New Roman" w:hAnsi="Times New Roman"/>
          <w:sz w:val="18"/>
          <w:szCs w:val="18"/>
          <w:color w:val="auto"/>
        </w:rPr>
      </w:pPr>
    </w:p>
    <w:p>
      <w:pPr>
        <w:ind w:left="600" w:hanging="328"/>
        <w:spacing w:after="0" w:line="282" w:lineRule="auto"/>
        <w:tabs>
          <w:tab w:leader="none" w:pos="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cash and investments increased 26.7%, or $110.7 million, to $525.6 million. This included cash and cash equivalents of $197.7 million, short-term investments of $51.9 million, and long-term investments of $276.0 million.</w:t>
      </w:r>
    </w:p>
    <w:p>
      <w:pPr>
        <w:spacing w:after="0" w:line="161" w:lineRule="exact"/>
        <w:rPr>
          <w:rFonts w:ascii="Times New Roman" w:cs="Times New Roman" w:eastAsia="Times New Roman" w:hAnsi="Times New Roman"/>
          <w:sz w:val="18"/>
          <w:szCs w:val="18"/>
          <w:color w:val="auto"/>
        </w:rPr>
      </w:pPr>
    </w:p>
    <w:p>
      <w:pPr>
        <w:ind w:left="600" w:hanging="328"/>
        <w:spacing w:after="0" w:line="282" w:lineRule="auto"/>
        <w:tabs>
          <w:tab w:leader="none" w:pos="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invested $53.4 million of cash to repurchase 542,486 shares of its common stock. At the end of the first quarter, $205.4 million remained available for future share repurchases under the current share repurchase 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234315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10060"/>
        <w:spacing w:after="0"/>
        <w:tabs>
          <w:tab w:leader="none" w:pos="10260" w:val="left"/>
        </w:tabs>
        <w:rPr>
          <w:sz w:val="20"/>
          <w:szCs w:val="20"/>
          <w:color w:val="auto"/>
        </w:rPr>
      </w:pPr>
      <w:r>
        <w:rPr>
          <w:rFonts w:ascii="Times New Roman" w:cs="Times New Roman" w:eastAsia="Times New Roman" w:hAnsi="Times New Roman"/>
          <w:sz w:val="14"/>
          <w:szCs w:val="14"/>
          <w:b w:val="1"/>
          <w:bCs w:val="1"/>
          <w:color w:val="auto"/>
        </w:rPr>
        <w:t>2</w:t>
      </w:r>
      <w:r>
        <w:rPr>
          <w:sz w:val="20"/>
          <w:szCs w:val="20"/>
          <w:color w:val="auto"/>
        </w:rPr>
        <w:tab/>
      </w:r>
      <w:r>
        <w:rPr>
          <w:rFonts w:ascii="Times New Roman" w:cs="Times New Roman" w:eastAsia="Times New Roman" w:hAnsi="Times New Roman"/>
          <w:sz w:val="14"/>
          <w:szCs w:val="14"/>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6464935</wp:posOffset>
            </wp:positionH>
            <wp:positionV relativeFrom="paragraph">
              <wp:posOffset>-85725</wp:posOffset>
            </wp:positionV>
            <wp:extent cx="17145" cy="946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145" cy="9461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41910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104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23035" cy="4800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423035" cy="480060"/>
                    </a:xfrm>
                    <a:prstGeom prst="rect">
                      <a:avLst/>
                    </a:prstGeom>
                    <a:noFill/>
                  </pic:spPr>
                </pic:pic>
              </a:graphicData>
            </a:graphic>
          </wp:anchor>
        </w:drawing>
        <w:t>Outlook</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is raising its earnings per share outlook for the 2026 fiscal year ending January 30, 2027. A table comparing the current outlook metrics to the previous outlook metrics is below. These metrics do not assume any impact from IEEPA tariff refunds.</w:t>
      </w:r>
    </w:p>
    <w:tbl>
      <w:tblPr>
        <w:tblLayout w:type="fixed"/>
        <w:tblInd w:w="0" w:type="dxa"/>
        <w:tblCellMar>
          <w:top w:w="0" w:type="dxa"/>
          <w:left w:w="0" w:type="dxa"/>
          <w:bottom w:w="0" w:type="dxa"/>
          <w:right w:w="0" w:type="dxa"/>
        </w:tblCellMar>
      </w:tblPr>
      <w:tr>
        <w:trPr>
          <w:trHeight w:val="223"/>
        </w:trPr>
        <w:tc>
          <w:tcPr>
            <w:tcW w:w="5520" w:type="dxa"/>
            <w:vAlign w:val="bottom"/>
          </w:tcPr>
          <w:p>
            <w:pPr>
              <w:spacing w:after="0"/>
              <w:rPr>
                <w:sz w:val="19"/>
                <w:szCs w:val="19"/>
                <w:color w:val="auto"/>
              </w:rPr>
            </w:pPr>
          </w:p>
        </w:tc>
        <w:tc>
          <w:tcPr>
            <w:tcW w:w="2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Previous</w:t>
            </w:r>
          </w:p>
        </w:tc>
      </w:tr>
      <w:tr>
        <w:trPr>
          <w:trHeight w:val="216"/>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store openings</w:t>
            </w:r>
          </w:p>
        </w:tc>
        <w:tc>
          <w:tcPr>
            <w:tcW w:w="2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top w:val="single" w:sz="8" w:color="CCEEFF"/>
            </w:tcBorders>
            <w:shd w:val="clear" w:color="auto" w:fill="CCEEFF"/>
          </w:tcPr>
          <w:p>
            <w:pPr>
              <w:spacing w:after="0"/>
              <w:rPr>
                <w:sz w:val="18"/>
                <w:szCs w:val="18"/>
                <w:color w:val="auto"/>
              </w:rPr>
            </w:pPr>
          </w:p>
        </w:tc>
        <w:tc>
          <w:tcPr>
            <w:tcW w:w="2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2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$2.980 to $3.000 billion</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 to $3.013 billion</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Comparable store sales growth</w:t>
            </w:r>
          </w:p>
        </w:tc>
        <w:tc>
          <w:tcPr>
            <w:tcW w:w="2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 to $348 million</w:t>
            </w: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 to $348 million</w:t>
            </w:r>
          </w:p>
        </w:tc>
      </w:tr>
      <w:tr>
        <w:trPr>
          <w:trHeight w:val="216"/>
        </w:trPr>
        <w:tc>
          <w:tcPr>
            <w:tcW w:w="552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Adjusted net income </w:t>
            </w:r>
            <w:r>
              <w:rPr>
                <w:rFonts w:ascii="Times New Roman" w:cs="Times New Roman" w:eastAsia="Times New Roman" w:hAnsi="Times New Roman"/>
                <w:sz w:val="25"/>
                <w:szCs w:val="25"/>
                <w:color w:val="auto"/>
                <w:vertAlign w:val="superscript"/>
              </w:rPr>
              <w:t>(1)(2)</w:t>
            </w:r>
          </w:p>
        </w:tc>
        <w:tc>
          <w:tcPr>
            <w:tcW w:w="2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 to $277 million</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 to $277 million</w:t>
            </w:r>
          </w:p>
        </w:tc>
      </w:tr>
      <w:tr>
        <w:trPr>
          <w:trHeight w:val="216"/>
        </w:trPr>
        <w:tc>
          <w:tcPr>
            <w:tcW w:w="55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Adjusted net income per diluted share</w:t>
            </w:r>
            <w:r>
              <w:rPr>
                <w:rFonts w:ascii="Times New Roman" w:cs="Times New Roman" w:eastAsia="Times New Roman" w:hAnsi="Times New Roman"/>
                <w:sz w:val="25"/>
                <w:szCs w:val="25"/>
                <w:color w:val="auto"/>
                <w:vertAlign w:val="superscript"/>
              </w:rPr>
              <w:t>(1)(2)</w:t>
            </w:r>
          </w:p>
        </w:tc>
        <w:tc>
          <w:tcPr>
            <w:tcW w:w="2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$4.45 to $4.55</w:t>
            </w: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 to $4.50</w:t>
            </w:r>
          </w:p>
        </w:tc>
      </w:tr>
      <w:tr>
        <w:trPr>
          <w:trHeight w:val="216"/>
        </w:trPr>
        <w:tc>
          <w:tcPr>
            <w:tcW w:w="552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Annual effective tax rate</w:t>
            </w:r>
            <w:r>
              <w:rPr>
                <w:rFonts w:ascii="Times New Roman" w:cs="Times New Roman" w:eastAsia="Times New Roman" w:hAnsi="Times New Roman"/>
                <w:sz w:val="25"/>
                <w:szCs w:val="25"/>
                <w:color w:val="auto"/>
                <w:vertAlign w:val="superscript"/>
              </w:rPr>
              <w:t>(2)</w:t>
            </w:r>
          </w:p>
        </w:tc>
        <w:tc>
          <w:tcPr>
            <w:tcW w:w="2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2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~60.9 million</w:t>
            </w: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 million</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 to $113 million</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 to $113 million</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repurchases</w:t>
            </w:r>
          </w:p>
        </w:tc>
        <w:tc>
          <w:tcPr>
            <w:tcW w:w="2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 million</w:t>
            </w: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million</w:t>
            </w:r>
          </w:p>
        </w:tc>
      </w:tr>
    </w:tbl>
    <w:p>
      <w:pPr>
        <w:spacing w:after="0" w:line="87"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interest income of approximately $21 million.</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94" w:lineRule="auto"/>
        <w:tabs>
          <w:tab w:leader="none" w:pos="34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Excludes the excess tax benefits related to stock-based compensation, as the Company cannot predict such estimates without unreasonable effort.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 conference call to discuss first quarter 2026 financial results is scheduled for today, June 3, 2026, at 8:30 a.m. Eastern Time. To access the live conference call, please preregister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 xml:space="preserve"> Registrants will receive a confirmation with dial-in instructions. Interested parties can also listen to a live webcast or replay of the conference call by logging on to the Investor Relations section on the Company’s website at </w:t>
      </w:r>
      <w:r>
        <w:rPr>
          <w:rFonts w:ascii="Times New Roman" w:cs="Times New Roman" w:eastAsia="Times New Roman" w:hAnsi="Times New Roman"/>
          <w:sz w:val="18"/>
          <w:szCs w:val="18"/>
          <w:u w:val="single" w:color="auto"/>
          <w:color w:val="auto"/>
        </w:rPr>
        <w:t>https://investors.ollies.com/</w:t>
      </w:r>
      <w:r>
        <w:rPr>
          <w:rFonts w:ascii="Times New Roman" w:cs="Times New Roman" w:eastAsia="Times New Roman" w:hAnsi="Times New Roman"/>
          <w:sz w:val="18"/>
          <w:szCs w:val="18"/>
          <w:color w:val="auto"/>
        </w:rPr>
        <w:t>. A replay of the conference call webcast will be available on the investor relations website for one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Ollie’s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Ollie’s is a leading off-price retailer of brand name household products. Since our founding in 1982, our mission has been to sell Good Stuff Cheap®. We do this through a flexible buying model that focuses on closeout merchandise and excess inventory from suppliers and manufacturers around the world. Our stores offer Real Brands! Real Bargains! ® in a treasure hunt environment at prices up to 70% below traditional retailers. As of May 2, 2026, we operated 672 stores in 35 states and growing! For more information, visit </w:t>
      </w:r>
      <w:r>
        <w:rPr>
          <w:rFonts w:ascii="Times New Roman" w:cs="Times New Roman" w:eastAsia="Times New Roman" w:hAnsi="Times New Roman"/>
          <w:sz w:val="18"/>
          <w:szCs w:val="18"/>
          <w:u w:val="single" w:color="auto"/>
          <w:color w:val="auto"/>
        </w:rPr>
        <w:t>www.ollies.com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Reconciliation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results are reported in this press release on a GAAP and as adjusted, non-GAAP basis. Adjusted net income (loss), Adjusted net income (loss) per diluted share, EBITDA, and Adjusted EBITDA are non-GAAP measures, and are not intended to replace GAAP financial information, and may be different from non-GAAP measures reported by other companies. The Company believes the income and expense items excluded as non-GAAP adjustments are not reflective of the performance of its core business, and that providing this supplemental disclosure to investors will facilitate comparisons of the past and present performance of its core business.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Please refer to the “Reconciliation of GAAP to Non-GAAP Financial Measures” table included in this press release, which sets forth the non-GAAP operating adjustments for the 13-week periods ended May 2, 2026 and May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10120"/>
        <w:spacing w:after="0"/>
        <w:tabs>
          <w:tab w:leader="none" w:pos="10320" w:val="left"/>
        </w:tabs>
        <w:rPr>
          <w:sz w:val="20"/>
          <w:szCs w:val="20"/>
          <w:color w:val="auto"/>
        </w:rPr>
      </w:pPr>
      <w:r>
        <w:rPr>
          <w:rFonts w:ascii="Times New Roman" w:cs="Times New Roman" w:eastAsia="Times New Roman" w:hAnsi="Times New Roman"/>
          <w:sz w:val="14"/>
          <w:szCs w:val="14"/>
          <w:b w:val="1"/>
          <w:bCs w:val="1"/>
          <w:color w:val="auto"/>
        </w:rPr>
        <w:t>3</w:t>
      </w:r>
      <w:r>
        <w:rPr>
          <w:sz w:val="20"/>
          <w:szCs w:val="20"/>
          <w:color w:val="auto"/>
        </w:rPr>
        <w:tab/>
      </w:r>
      <w:r>
        <w:rPr>
          <w:rFonts w:ascii="Times New Roman" w:cs="Times New Roman" w:eastAsia="Times New Roman" w:hAnsi="Times New Roman"/>
          <w:sz w:val="14"/>
          <w:szCs w:val="14"/>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6503035</wp:posOffset>
            </wp:positionH>
            <wp:positionV relativeFrom="paragraph">
              <wp:posOffset>-85725</wp:posOffset>
            </wp:positionV>
            <wp:extent cx="17145" cy="946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145"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23035" cy="4800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423035" cy="480060"/>
                    </a:xfrm>
                    <a:prstGeom prst="rect">
                      <a:avLst/>
                    </a:prstGeom>
                    <a:noFill/>
                  </pic:spPr>
                </pic:pic>
              </a:graphicData>
            </a:graphic>
          </wp:anchor>
        </w:drawing>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certain forward-looking statements, which includes but is not limited to statements regarding industry trends, value creation, customer trends, new stores, distribution centers, and various financial outlook figures, including new store openings, net sales, comparable store sales, gross margin, SG&amp;A, operating income, net income, adjusted net income, adjusted net income per diluted share, effective tax rate, diluted weighted average shares outstanding and capital expenditures. All forward-looking statements are subject to the safe harbor provisions of the Private Securities Litigation Reform Act of 1995, are subject to the finalization of the Company’s quarterly financial and accounting procedures, and may be affected by certain risks and uncertainties, any one, or a combination, of which could materially affect the results of the Company’s operations. Forward-looking statements are usually identified by or are associated with such words as “could”, “may”, “might”, “will,” “likely”, “anticipates”, “intends”, “plans”, “believes”, “estimates”, “expects”, “continues”, “projects”, “forecasts”, and similar terminology. Actual results could vary materially from the expectations reflected in these statements. As with any business, all phases of our operations are subject to factors outside of our control. These factors include, without limitation, the impact of the recent tariff announcements and the corresponding macroeconomic pressures and those factors discussed in the “Risk Factors” section of the Company’s Annual Reports or Form 10-K and other filings with the Securities and Exchange Commission. Forward-looking statements made by or on behalf of the Company are based on knowledge of its business and the environment in which it operates, but because of the factors listed above, actual results could differ materially from those reflected by any forward-looking statements. Consequently, all of the forward-looking statements made are qualified by these cautionary statements and those contained in the Company’s Annual Report on Form 10-K, quarterly reports on Form 10-Q, and other filings with the Securities and Exchange Commission. There can be no assurance that the results or developments anticipated by the Company will be realized or, even if substantially realized, that they will have the expected consequences to or effects on the Company or its business and operations. Readers are cautioned not to place undue reliance on these forward-looking statements, which speak only as of the date hereof. The Company does not undertake any obligation to release publicly any revisions to these forward-looking statements to reflect events or circumstances after the date hereof or to reflect the occurrence of unanticipated events, except as required by law.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Rouleau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Managing Director of Corporate Communication &amp; Business Development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JRouleau@ollies.us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Tom Kuypers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Marketing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tkuypers@ollies.us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10120"/>
        <w:spacing w:after="0"/>
        <w:tabs>
          <w:tab w:leader="none" w:pos="10320" w:val="left"/>
        </w:tabs>
        <w:rPr>
          <w:sz w:val="20"/>
          <w:szCs w:val="20"/>
          <w:color w:val="auto"/>
        </w:rPr>
      </w:pPr>
      <w:r>
        <w:rPr>
          <w:rFonts w:ascii="Times New Roman" w:cs="Times New Roman" w:eastAsia="Times New Roman" w:hAnsi="Times New Roman"/>
          <w:sz w:val="14"/>
          <w:szCs w:val="14"/>
          <w:b w:val="1"/>
          <w:bCs w:val="1"/>
          <w:color w:val="auto"/>
        </w:rPr>
        <w:t>4</w:t>
      </w:r>
      <w:r>
        <w:rPr>
          <w:sz w:val="20"/>
          <w:szCs w:val="20"/>
          <w:color w:val="auto"/>
        </w:rPr>
        <w:tab/>
      </w:r>
      <w:r>
        <w:rPr>
          <w:rFonts w:ascii="Times New Roman" w:cs="Times New Roman" w:eastAsia="Times New Roman" w:hAnsi="Times New Roman"/>
          <w:sz w:val="14"/>
          <w:szCs w:val="14"/>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6503035</wp:posOffset>
            </wp:positionH>
            <wp:positionV relativeFrom="paragraph">
              <wp:posOffset>-85725</wp:posOffset>
            </wp:positionV>
            <wp:extent cx="17145" cy="946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145"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23035" cy="4800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423035" cy="480060"/>
                    </a:xfrm>
                    <a:prstGeom prst="rect">
                      <a:avLst/>
                    </a:prstGeom>
                    <a:noFill/>
                  </pic:spPr>
                </pic:pic>
              </a:graphicData>
            </a:graphic>
          </wp:anchor>
        </w:drawing>
        <w:t>Ollie’s Bargain Outlet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except for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6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194"/>
        </w:trPr>
        <w:tc>
          <w:tcPr>
            <w:tcW w:w="86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560"/>
              <w:spacing w:after="0" w:line="194" w:lineRule="exact"/>
              <w:rPr>
                <w:sz w:val="20"/>
                <w:szCs w:val="20"/>
                <w:color w:val="auto"/>
              </w:rPr>
            </w:pPr>
            <w:r>
              <w:rPr>
                <w:rFonts w:ascii="Times New Roman" w:cs="Times New Roman" w:eastAsia="Times New Roman" w:hAnsi="Times New Roman"/>
                <w:sz w:val="18"/>
                <w:szCs w:val="18"/>
                <w:b w:val="1"/>
                <w:bCs w:val="1"/>
                <w:color w:val="auto"/>
              </w:rPr>
              <w:t>May 2,</w:t>
            </w: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210"/>
              <w:spacing w:after="0" w:line="194" w:lineRule="exact"/>
              <w:rPr>
                <w:sz w:val="20"/>
                <w:szCs w:val="20"/>
                <w:color w:val="auto"/>
              </w:rPr>
            </w:pPr>
            <w:r>
              <w:rPr>
                <w:rFonts w:ascii="Times New Roman" w:cs="Times New Roman" w:eastAsia="Times New Roman" w:hAnsi="Times New Roman"/>
                <w:sz w:val="18"/>
                <w:szCs w:val="18"/>
                <w:b w:val="1"/>
                <w:bCs w:val="1"/>
                <w:color w:val="auto"/>
              </w:rPr>
              <w:t>May 3,</w:t>
            </w:r>
          </w:p>
        </w:tc>
        <w:tc>
          <w:tcPr>
            <w:tcW w:w="160" w:type="dxa"/>
            <w:vAlign w:val="bottom"/>
          </w:tcPr>
          <w:p>
            <w:pPr>
              <w:spacing w:after="0"/>
              <w:rPr>
                <w:sz w:val="16"/>
                <w:szCs w:val="16"/>
                <w:color w:val="auto"/>
              </w:rPr>
            </w:pPr>
          </w:p>
        </w:tc>
      </w:tr>
      <w:tr>
        <w:trPr>
          <w:trHeight w:val="245"/>
        </w:trPr>
        <w:tc>
          <w:tcPr>
            <w:tcW w:w="86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1"/>
                <w:szCs w:val="21"/>
                <w:color w:val="auto"/>
              </w:rPr>
            </w:pPr>
          </w:p>
        </w:tc>
      </w:tr>
      <w:tr>
        <w:trPr>
          <w:trHeight w:val="216"/>
        </w:trPr>
        <w:tc>
          <w:tcPr>
            <w:tcW w:w="8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658,928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576,767</w:t>
            </w:r>
          </w:p>
        </w:tc>
      </w:tr>
      <w:tr>
        <w:trPr>
          <w:trHeight w:val="223"/>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382,964</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339,736</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275,964</w:t>
            </w: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237,031</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188,682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164,832</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9,357</w:t>
            </w:r>
          </w:p>
        </w:tc>
      </w:tr>
      <w:tr>
        <w:trPr>
          <w:trHeight w:val="223"/>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Pre-opening expenses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6,656</w:t>
            </w:r>
          </w:p>
        </w:tc>
      </w:tr>
      <w:tr>
        <w:trPr>
          <w:trHeight w:val="216"/>
        </w:trPr>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69,557</w:t>
            </w: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56,186</w:t>
            </w:r>
          </w:p>
        </w:tc>
        <w:tc>
          <w:tcPr>
            <w:tcW w:w="160" w:type="dxa"/>
            <w:vAlign w:val="bottom"/>
            <w:shd w:val="clear" w:color="auto" w:fill="CCEEFF"/>
          </w:tcPr>
          <w:p>
            <w:pPr>
              <w:spacing w:after="0"/>
              <w:rPr>
                <w:sz w:val="18"/>
                <w:szCs w:val="18"/>
                <w:color w:val="auto"/>
              </w:rPr>
            </w:pPr>
          </w:p>
        </w:tc>
      </w:tr>
      <w:tr>
        <w:trPr>
          <w:trHeight w:val="223"/>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(4,966)</w:t>
            </w:r>
          </w:p>
        </w:tc>
        <w:tc>
          <w:tcPr>
            <w:tcW w:w="1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(4,788)</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74,523</w:t>
            </w: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60,974</w:t>
            </w:r>
          </w:p>
        </w:tc>
        <w:tc>
          <w:tcPr>
            <w:tcW w:w="160" w:type="dxa"/>
            <w:vAlign w:val="bottom"/>
            <w:shd w:val="clear" w:color="auto" w:fill="CCEEFF"/>
          </w:tcPr>
          <w:p>
            <w:pPr>
              <w:spacing w:after="0"/>
              <w:rPr>
                <w:sz w:val="18"/>
                <w:szCs w:val="18"/>
                <w:color w:val="auto"/>
              </w:rPr>
            </w:pPr>
          </w:p>
        </w:tc>
      </w:tr>
      <w:tr>
        <w:trPr>
          <w:trHeight w:val="223"/>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18,123</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13,414</w:t>
            </w:r>
          </w:p>
        </w:tc>
      </w:tr>
      <w:tr>
        <w:trPr>
          <w:trHeight w:val="257"/>
        </w:trPr>
        <w:tc>
          <w:tcPr>
            <w:tcW w:w="8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56,400</w:t>
            </w:r>
          </w:p>
        </w:tc>
        <w:tc>
          <w:tcPr>
            <w:tcW w:w="2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47,560</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09"/>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0.78</w:t>
            </w: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28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0.77</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60,884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61,343</w:t>
            </w: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61,816</w:t>
            </w:r>
          </w:p>
        </w:tc>
      </w:tr>
      <w:tr>
        <w:trPr>
          <w:trHeight w:val="216"/>
        </w:trPr>
        <w:tc>
          <w:tcPr>
            <w:tcW w:w="8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Percentage of net sales: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8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41.1</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28.6</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8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Pre-opening expenses</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w:t>
            </w:r>
          </w:p>
        </w:tc>
      </w:tr>
      <w:tr>
        <w:trPr>
          <w:trHeight w:val="223"/>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86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Borders>
              <w:top w:val="single" w:sz="8" w:color="CCEEFF"/>
            </w:tcBorders>
          </w:tcPr>
          <w:p>
            <w:pPr>
              <w:spacing w:after="0"/>
              <w:rPr>
                <w:sz w:val="18"/>
                <w:szCs w:val="18"/>
                <w:color w:val="auto"/>
              </w:rPr>
            </w:pPr>
          </w:p>
        </w:tc>
      </w:tr>
      <w:tr>
        <w:trPr>
          <w:trHeight w:val="223"/>
        </w:trPr>
        <w:tc>
          <w:tcPr>
            <w:tcW w:w="8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r>
      <w:tr>
        <w:trPr>
          <w:trHeight w:val="20"/>
        </w:trPr>
        <w:tc>
          <w:tcPr>
            <w:tcW w:w="8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may not add to totals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10120"/>
        <w:spacing w:after="0"/>
        <w:tabs>
          <w:tab w:leader="none" w:pos="10320" w:val="left"/>
        </w:tabs>
        <w:rPr>
          <w:sz w:val="20"/>
          <w:szCs w:val="20"/>
          <w:color w:val="auto"/>
        </w:rPr>
      </w:pPr>
      <w:r>
        <w:rPr>
          <w:rFonts w:ascii="Times New Roman" w:cs="Times New Roman" w:eastAsia="Times New Roman" w:hAnsi="Times New Roman"/>
          <w:sz w:val="14"/>
          <w:szCs w:val="14"/>
          <w:b w:val="1"/>
          <w:bCs w:val="1"/>
          <w:color w:val="auto"/>
        </w:rPr>
        <w:t>5</w:t>
      </w:r>
      <w:r>
        <w:rPr>
          <w:sz w:val="20"/>
          <w:szCs w:val="20"/>
          <w:color w:val="auto"/>
        </w:rPr>
        <w:tab/>
      </w:r>
      <w:r>
        <w:rPr>
          <w:rFonts w:ascii="Times New Roman" w:cs="Times New Roman" w:eastAsia="Times New Roman" w:hAnsi="Times New Roman"/>
          <w:sz w:val="14"/>
          <w:szCs w:val="14"/>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6503035</wp:posOffset>
            </wp:positionH>
            <wp:positionV relativeFrom="paragraph">
              <wp:posOffset>-85725</wp:posOffset>
            </wp:positionV>
            <wp:extent cx="17145" cy="939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145"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23035" cy="4800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423035" cy="480060"/>
                    </a:xfrm>
                    <a:prstGeom prst="rect">
                      <a:avLst/>
                    </a:prstGeom>
                    <a:noFill/>
                  </pic:spPr>
                </pic:pic>
              </a:graphicData>
            </a:graphic>
          </wp:anchor>
        </w:drawing>
        <w:t>Ollie’s Bargain Outlet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May 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May 3,</w:t>
            </w:r>
          </w:p>
        </w:tc>
        <w:tc>
          <w:tcPr>
            <w:tcW w:w="0" w:type="dxa"/>
            <w:vAlign w:val="bottom"/>
          </w:tcPr>
          <w:p>
            <w:pPr>
              <w:spacing w:after="0"/>
              <w:rPr>
                <w:sz w:val="1"/>
                <w:szCs w:val="1"/>
                <w:color w:val="auto"/>
              </w:rPr>
            </w:pPr>
          </w:p>
        </w:tc>
      </w:tr>
      <w:tr>
        <w:trPr>
          <w:trHeight w:val="245"/>
        </w:trPr>
        <w:tc>
          <w:tcPr>
            <w:tcW w:w="8680" w:type="dxa"/>
            <w:vAlign w:val="bottom"/>
          </w:tcPr>
          <w:p>
            <w:pPr>
              <w:ind w:left="40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197,673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199,018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51,886</w:t>
            </w: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170,490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686,922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611,852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2,348</w:t>
            </w:r>
          </w:p>
        </w:tc>
        <w:tc>
          <w:tcPr>
            <w:tcW w:w="0" w:type="dxa"/>
            <w:vAlign w:val="bottom"/>
          </w:tcPr>
          <w:p>
            <w:pPr>
              <w:spacing w:after="0"/>
              <w:rPr>
                <w:sz w:val="1"/>
                <w:szCs w:val="1"/>
                <w:color w:val="auto"/>
              </w:rPr>
            </w:pPr>
          </w:p>
        </w:tc>
      </w:tr>
      <w:tr>
        <w:trPr>
          <w:trHeight w:val="22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19,621</w:t>
            </w:r>
          </w:p>
        </w:tc>
        <w:tc>
          <w:tcPr>
            <w:tcW w:w="2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14,313</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960,989</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998,021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398,308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346,151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680,820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639,664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444,850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444,850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230,559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230,559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276,038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45,355</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2,379</w:t>
            </w:r>
          </w:p>
        </w:tc>
        <w:tc>
          <w:tcPr>
            <w:tcW w:w="0" w:type="dxa"/>
            <w:vAlign w:val="bottom"/>
          </w:tcPr>
          <w:p>
            <w:pPr>
              <w:spacing w:after="0"/>
              <w:rPr>
                <w:sz w:val="1"/>
                <w:szCs w:val="1"/>
                <w:color w:val="auto"/>
              </w:rPr>
            </w:pPr>
          </w:p>
        </w:tc>
      </w:tr>
      <w:tr>
        <w:trPr>
          <w:trHeight w:val="257"/>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2,993,899</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2,706,979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8680" w:type="dxa"/>
            <w:vAlign w:val="bottom"/>
          </w:tcPr>
          <w:p>
            <w:pPr>
              <w:ind w:left="29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844</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154,751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137,869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25,952</w:t>
            </w: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14,364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111,764</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99,767</w:t>
            </w: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120,909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95,238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414,220</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925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91,905</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81,006</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Long-term portion of operating lease liabilities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596,175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547,431</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1,103,813</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977,166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760,276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739,333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1,664,709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1,415,273</w:t>
            </w: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 common stock</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(534,967)</w:t>
            </w:r>
          </w:p>
        </w:tc>
        <w:tc>
          <w:tcPr>
            <w:tcW w:w="22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(424,861)</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1,890,086</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1,729,813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2,993,899</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2,706,979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5"/>
        </w:trPr>
        <w:tc>
          <w:tcPr>
            <w:tcW w:w="8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8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w:t>
            </w:r>
          </w:p>
        </w:tc>
        <w:tc>
          <w:tcPr>
            <w:tcW w:w="20" w:type="dxa"/>
            <w:vAlign w:val="bottom"/>
          </w:tcPr>
          <w:p>
            <w:pPr>
              <w:spacing w:after="0"/>
              <w:rPr>
                <w:sz w:val="7"/>
                <w:szCs w:val="7"/>
                <w:color w:val="auto"/>
              </w:rPr>
            </w:pPr>
          </w:p>
        </w:tc>
        <w:tc>
          <w:tcPr>
            <w:tcW w:w="98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49"/>
        </w:trPr>
        <w:tc>
          <w:tcPr>
            <w:tcW w:w="8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86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49" w:right="33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23035" cy="4800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423035" cy="4800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Ollie’s Bargain Outlet Holdings, Inc.</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20"/>
                <w:szCs w:val="20"/>
                <w:color w:val="auto"/>
              </w:rPr>
            </w:pPr>
          </w:p>
        </w:tc>
        <w:tc>
          <w:tcPr>
            <w:tcW w:w="2360" w:type="dxa"/>
            <w:vAlign w:val="bottom"/>
            <w:gridSpan w:val="5"/>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6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450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right"/>
              <w:ind w:right="520"/>
              <w:spacing w:after="0" w:line="194" w:lineRule="exact"/>
              <w:rPr>
                <w:sz w:val="20"/>
                <w:szCs w:val="20"/>
                <w:color w:val="auto"/>
              </w:rPr>
            </w:pPr>
            <w:r>
              <w:rPr>
                <w:rFonts w:ascii="Times New Roman" w:cs="Times New Roman" w:eastAsia="Times New Roman" w:hAnsi="Times New Roman"/>
                <w:sz w:val="18"/>
                <w:szCs w:val="18"/>
                <w:b w:val="1"/>
                <w:bCs w:val="1"/>
                <w:color w:val="auto"/>
              </w:rPr>
              <w:t>May 2,</w:t>
            </w: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1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5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(49,561)</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(18,266)</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(57,947)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(16,541)</w:t>
            </w:r>
          </w:p>
        </w:tc>
        <w:tc>
          <w:tcPr>
            <w:tcW w:w="0" w:type="dxa"/>
            <w:vAlign w:val="bottom"/>
          </w:tcPr>
          <w:p>
            <w:pPr>
              <w:spacing w:after="0"/>
              <w:rPr>
                <w:sz w:val="1"/>
                <w:szCs w:val="1"/>
                <w:color w:val="auto"/>
              </w:rPr>
            </w:pPr>
          </w:p>
        </w:tc>
      </w:tr>
      <w:tr>
        <w:trPr>
          <w:trHeight w:val="27"/>
        </w:trPr>
        <w:tc>
          <w:tcPr>
            <w:tcW w:w="4500" w:type="dxa"/>
            <w:vAlign w:val="bottom"/>
            <w:shd w:val="clear" w:color="auto" w:fill="CCEEFF"/>
          </w:tcPr>
          <w:p>
            <w:pPr>
              <w:spacing w:after="0"/>
              <w:rPr>
                <w:sz w:val="2"/>
                <w:szCs w:val="2"/>
                <w:color w:val="auto"/>
              </w:rPr>
            </w:pPr>
          </w:p>
        </w:tc>
        <w:tc>
          <w:tcPr>
            <w:tcW w:w="41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(62,007)</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(6,105)</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 beginning of the period</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259,680</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205,123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and cash equivalents, end of the period</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197,673</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199,018</w:t>
            </w: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Ollie’s Bargain Outlet Holdings, Inc.</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3"/>
        </w:trPr>
        <w:tc>
          <w:tcPr>
            <w:tcW w:w="86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Measures (unaudited)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 except for per share amounts)</w:t>
            </w:r>
          </w:p>
        </w:tc>
        <w:tc>
          <w:tcPr>
            <w:tcW w:w="200" w:type="dxa"/>
            <w:vAlign w:val="bottom"/>
          </w:tcPr>
          <w:p>
            <w:pPr>
              <w:spacing w:after="0"/>
              <w:rPr>
                <w:sz w:val="20"/>
                <w:szCs w:val="20"/>
                <w:color w:val="auto"/>
              </w:rPr>
            </w:pPr>
          </w:p>
        </w:tc>
        <w:tc>
          <w:tcPr>
            <w:tcW w:w="2360" w:type="dxa"/>
            <w:vAlign w:val="bottom"/>
            <w:gridSpan w:val="5"/>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6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450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right"/>
              <w:ind w:right="520"/>
              <w:spacing w:after="0" w:line="194" w:lineRule="exact"/>
              <w:rPr>
                <w:sz w:val="20"/>
                <w:szCs w:val="20"/>
                <w:color w:val="auto"/>
              </w:rPr>
            </w:pPr>
            <w:r>
              <w:rPr>
                <w:rFonts w:ascii="Times New Roman" w:cs="Times New Roman" w:eastAsia="Times New Roman" w:hAnsi="Times New Roman"/>
                <w:sz w:val="18"/>
                <w:szCs w:val="18"/>
                <w:b w:val="1"/>
                <w:bCs w:val="1"/>
                <w:color w:val="auto"/>
              </w:rPr>
              <w:t>May 2,</w:t>
            </w: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1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5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47,560</w:t>
            </w: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Excess tax benefits related to stock-based compensation </w:t>
            </w:r>
            <w:r>
              <w:rPr>
                <w:rFonts w:ascii="Times New Roman" w:cs="Times New Roman" w:eastAsia="Times New Roman" w:hAnsi="Times New Roman"/>
                <w:sz w:val="25"/>
                <w:szCs w:val="25"/>
                <w:color w:val="auto"/>
                <w:vertAlign w:val="superscript"/>
              </w:rPr>
              <w:t>(1)</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(494)</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(1,487)</w:t>
            </w:r>
          </w:p>
        </w:tc>
        <w:tc>
          <w:tcPr>
            <w:tcW w:w="0" w:type="dxa"/>
            <w:vAlign w:val="bottom"/>
          </w:tcPr>
          <w:p>
            <w:pPr>
              <w:spacing w:after="0"/>
              <w:rPr>
                <w:sz w:val="1"/>
                <w:szCs w:val="1"/>
                <w:color w:val="auto"/>
              </w:rPr>
            </w:pPr>
          </w:p>
        </w:tc>
      </w:tr>
      <w:tr>
        <w:trPr>
          <w:trHeight w:val="256"/>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55,906</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46,073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5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diluted share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0.77</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 as noted above, per dilutive share: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gridSpan w:val="2"/>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Excess tax benefits related to stock-based compensation </w:t>
            </w:r>
            <w:r>
              <w:rPr>
                <w:rFonts w:ascii="Times New Roman" w:cs="Times New Roman" w:eastAsia="Times New Roman" w:hAnsi="Times New Roman"/>
                <w:sz w:val="25"/>
                <w:szCs w:val="25"/>
                <w:color w:val="auto"/>
                <w:vertAlign w:val="superscript"/>
              </w:rPr>
              <w:t>(1)</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Adjusted net income per diluted share</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50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61,191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61,816</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56,400</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47,560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(4,966)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(4,788)</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12,809</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18,123</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EBITDA</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84,491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68,995</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stock-based compensation expense</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87,892</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72,159</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5"/>
        </w:trPr>
        <w:tc>
          <w:tcPr>
            <w:tcW w:w="4500" w:type="dxa"/>
            <w:vAlign w:val="bottom"/>
            <w:tcBorders>
              <w:bottom w:val="single" w:sz="8" w:color="auto"/>
            </w:tcBorders>
          </w:tcPr>
          <w:p>
            <w:pPr>
              <w:spacing w:after="0"/>
              <w:rPr>
                <w:sz w:val="8"/>
                <w:szCs w:val="8"/>
                <w:color w:val="auto"/>
              </w:rPr>
            </w:pPr>
          </w:p>
        </w:tc>
        <w:tc>
          <w:tcPr>
            <w:tcW w:w="4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may not add to totals due to rounding.</w:t>
      </w:r>
    </w:p>
    <w:p>
      <w:pPr>
        <w:ind w:left="340" w:hanging="332"/>
        <w:spacing w:after="0" w:line="181" w:lineRule="auto"/>
        <w:tabs>
          <w:tab w:leader="none" w:pos="340" w:val="left"/>
        </w:tabs>
        <w:numPr>
          <w:ilvl w:val="0"/>
          <w:numId w:val="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Amount represents the impact from the recognition of excess tax benefits pursuant to Accounting Standards Update 2016-09, Stock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10120"/>
        <w:spacing w:after="0"/>
        <w:tabs>
          <w:tab w:leader="none" w:pos="10320" w:val="left"/>
        </w:tabs>
        <w:rPr>
          <w:sz w:val="20"/>
          <w:szCs w:val="20"/>
          <w:color w:val="auto"/>
        </w:rPr>
      </w:pPr>
      <w:r>
        <w:rPr>
          <w:rFonts w:ascii="Times New Roman" w:cs="Times New Roman" w:eastAsia="Times New Roman" w:hAnsi="Times New Roman"/>
          <w:sz w:val="14"/>
          <w:szCs w:val="14"/>
          <w:b w:val="1"/>
          <w:bCs w:val="1"/>
          <w:color w:val="auto"/>
        </w:rPr>
        <w:t>7</w:t>
      </w:r>
      <w:r>
        <w:rPr>
          <w:sz w:val="20"/>
          <w:szCs w:val="20"/>
          <w:color w:val="auto"/>
        </w:rPr>
        <w:tab/>
      </w:r>
      <w:r>
        <w:rPr>
          <w:rFonts w:ascii="Times New Roman" w:cs="Times New Roman" w:eastAsia="Times New Roman" w:hAnsi="Times New Roman"/>
          <w:sz w:val="14"/>
          <w:szCs w:val="14"/>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6503035</wp:posOffset>
            </wp:positionH>
            <wp:positionV relativeFrom="paragraph">
              <wp:posOffset>-85725</wp:posOffset>
            </wp:positionV>
            <wp:extent cx="17145" cy="946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145"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23035" cy="4800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423035" cy="480060"/>
                    </a:xfrm>
                    <a:prstGeom prst="rect">
                      <a:avLst/>
                    </a:prstGeom>
                    <a:noFill/>
                  </pic:spPr>
                </pic:pic>
              </a:graphicData>
            </a:graphic>
          </wp:anchor>
        </w:drawing>
        <w:t>Ollie’s Bargain Outlet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Statistics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60" w:type="dxa"/>
            <w:vAlign w:val="bottom"/>
            <w:gridSpan w:val="6"/>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194"/>
        </w:trPr>
        <w:tc>
          <w:tcPr>
            <w:tcW w:w="86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3"/>
          </w:tcPr>
          <w:p>
            <w:pPr>
              <w:jc w:val="right"/>
              <w:ind w:right="560"/>
              <w:spacing w:after="0" w:line="194" w:lineRule="exact"/>
              <w:rPr>
                <w:sz w:val="20"/>
                <w:szCs w:val="20"/>
                <w:color w:val="auto"/>
              </w:rPr>
            </w:pPr>
            <w:r>
              <w:rPr>
                <w:rFonts w:ascii="Times New Roman" w:cs="Times New Roman" w:eastAsia="Times New Roman" w:hAnsi="Times New Roman"/>
                <w:sz w:val="18"/>
                <w:szCs w:val="18"/>
                <w:b w:val="1"/>
                <w:bCs w:val="1"/>
                <w:color w:val="auto"/>
              </w:rPr>
              <w:t>May 2,</w:t>
            </w: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210"/>
              <w:spacing w:after="0" w:line="194" w:lineRule="exact"/>
              <w:rPr>
                <w:sz w:val="20"/>
                <w:szCs w:val="20"/>
                <w:color w:val="auto"/>
              </w:rPr>
            </w:pPr>
            <w:r>
              <w:rPr>
                <w:rFonts w:ascii="Times New Roman" w:cs="Times New Roman" w:eastAsia="Times New Roman" w:hAnsi="Times New Roman"/>
                <w:sz w:val="18"/>
                <w:szCs w:val="18"/>
                <w:b w:val="1"/>
                <w:bCs w:val="1"/>
                <w:color w:val="auto"/>
              </w:rPr>
              <w:t>May 3,</w:t>
            </w:r>
          </w:p>
        </w:tc>
        <w:tc>
          <w:tcPr>
            <w:tcW w:w="160" w:type="dxa"/>
            <w:vAlign w:val="bottom"/>
          </w:tcPr>
          <w:p>
            <w:pPr>
              <w:spacing w:after="0"/>
              <w:rPr>
                <w:sz w:val="16"/>
                <w:szCs w:val="16"/>
                <w:color w:val="auto"/>
              </w:rPr>
            </w:pPr>
          </w:p>
        </w:tc>
      </w:tr>
      <w:tr>
        <w:trPr>
          <w:trHeight w:val="245"/>
        </w:trPr>
        <w:tc>
          <w:tcPr>
            <w:tcW w:w="86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stores - beginning of period</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Store openings</w:t>
            </w:r>
          </w:p>
        </w:tc>
        <w:tc>
          <w:tcPr>
            <w:tcW w:w="1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8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Store closings</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Number of stores - end of period</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672</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60" w:type="dxa"/>
            <w:vAlign w:val="bottom"/>
          </w:tcPr>
          <w:p>
            <w:pPr>
              <w:spacing w:after="0"/>
              <w:rPr>
                <w:sz w:val="18"/>
                <w:szCs w:val="18"/>
                <w:color w:val="auto"/>
              </w:rPr>
            </w:pPr>
          </w:p>
        </w:tc>
      </w:tr>
      <w:tr>
        <w:trPr>
          <w:trHeight w:val="21"/>
        </w:trPr>
        <w:tc>
          <w:tcPr>
            <w:tcW w:w="8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Yr/yr store growth</w:t>
            </w:r>
          </w:p>
        </w:tc>
        <w:tc>
          <w:tcPr>
            <w:tcW w:w="1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Comparable stores sales change</w:t>
            </w:r>
          </w:p>
        </w:tc>
        <w:tc>
          <w:tcPr>
            <w:tcW w:w="180" w:type="dxa"/>
            <w:vAlign w:val="bottom"/>
          </w:tcPr>
          <w:p>
            <w:pPr>
              <w:spacing w:after="0"/>
              <w:rPr>
                <w:sz w:val="18"/>
                <w:szCs w:val="18"/>
                <w:color w:val="auto"/>
              </w:rPr>
            </w:pP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Comparable store count – end of period</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508</w:t>
            </w:r>
          </w:p>
        </w:tc>
      </w:tr>
      <w:tr>
        <w:trPr>
          <w:trHeight w:val="216"/>
        </w:trPr>
        <w:tc>
          <w:tcPr>
            <w:tcW w:w="860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Total cash and investments </w:t>
            </w:r>
            <w:r>
              <w:rPr>
                <w:rFonts w:ascii="Times New Roman" w:cs="Times New Roman" w:eastAsia="Times New Roman" w:hAnsi="Times New Roman"/>
                <w:sz w:val="25"/>
                <w:szCs w:val="25"/>
                <w:color w:val="auto"/>
                <w:vertAlign w:val="superscript"/>
              </w:rPr>
              <w:t>(1)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525,597</w:t>
            </w:r>
          </w:p>
        </w:tc>
        <w:tc>
          <w:tcPr>
            <w:tcW w:w="26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414,863</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25,474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26,740</w:t>
            </w: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Share repurchases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53,366</w:t>
            </w:r>
          </w:p>
        </w:tc>
        <w:tc>
          <w:tcPr>
            <w:tcW w:w="260" w:type="dxa"/>
            <w:vAlign w:val="bottom"/>
          </w:tcPr>
          <w:p>
            <w:pPr>
              <w:spacing w:after="0"/>
              <w:rPr>
                <w:sz w:val="20"/>
                <w:szCs w:val="20"/>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17,107</w:t>
            </w:r>
          </w:p>
        </w:tc>
      </w:tr>
    </w:tbl>
    <w:p>
      <w:pPr>
        <w:spacing w:after="0" w:line="69"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cash and cash equivalents, short-term investments, and long-term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0120"/>
        <w:spacing w:after="0"/>
        <w:tabs>
          <w:tab w:leader="none" w:pos="10320" w:val="left"/>
        </w:tabs>
        <w:rPr>
          <w:sz w:val="20"/>
          <w:szCs w:val="20"/>
          <w:color w:val="auto"/>
        </w:rPr>
      </w:pPr>
      <w:r>
        <w:rPr>
          <w:rFonts w:ascii="Times New Roman" w:cs="Times New Roman" w:eastAsia="Times New Roman" w:hAnsi="Times New Roman"/>
          <w:sz w:val="14"/>
          <w:szCs w:val="14"/>
          <w:b w:val="1"/>
          <w:bCs w:val="1"/>
          <w:color w:val="auto"/>
        </w:rPr>
        <w:t>8</w:t>
      </w:r>
      <w:r>
        <w:rPr>
          <w:sz w:val="20"/>
          <w:szCs w:val="20"/>
          <w:color w:val="auto"/>
        </w:rPr>
        <w:tab/>
      </w:r>
      <w:r>
        <w:rPr>
          <w:rFonts w:ascii="Times New Roman" w:cs="Times New Roman" w:eastAsia="Times New Roman" w:hAnsi="Times New Roman"/>
          <w:sz w:val="14"/>
          <w:szCs w:val="14"/>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6503035</wp:posOffset>
            </wp:positionH>
            <wp:positionV relativeFrom="paragraph">
              <wp:posOffset>-85725</wp:posOffset>
            </wp:positionV>
            <wp:extent cx="17145" cy="939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145"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0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2026-06-03T06:07:26Z</dcterms:created>
  <dcterms:modified xsi:type="dcterms:W3CDTF">2026-06-03T06:07:26Z</dcterms:modified>
</cp:coreProperties>
</file>