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2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-226060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5" w:lineRule="exact"/>
        <w:rPr>
          <w:sz w:val="24"/>
          <w:szCs w:val="24"/>
          <w:color w:val="auto"/>
        </w:rPr>
      </w:pPr>
    </w:p>
    <w:p>
      <w:pPr>
        <w:ind w:left="34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-657860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0"/>
        </w:trPr>
        <w:tc>
          <w:tcPr>
            <w:tcW w:w="626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5241290</wp:posOffset>
            </wp:positionH>
            <wp:positionV relativeFrom="paragraph">
              <wp:posOffset>-624205</wp:posOffset>
            </wp:positionV>
            <wp:extent cx="57785" cy="63754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7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3968750</wp:posOffset>
            </wp:positionH>
            <wp:positionV relativeFrom="paragraph">
              <wp:posOffset>-624205</wp:posOffset>
            </wp:positionV>
            <wp:extent cx="57785" cy="6375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7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-1661160</wp:posOffset>
            </wp:positionH>
            <wp:positionV relativeFrom="paragraph">
              <wp:posOffset>741045</wp:posOffset>
            </wp:positionV>
            <wp:extent cx="6993890" cy="51663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890" cy="51663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3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80"/>
            <w:col w:w="8480"/>
          </w:cols>
          <w:pgMar w:left="460" w:top="217" w:right="35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BAGLIVO MARY</w:t>
        </w:r>
      </w:hyperlink>
    </w:p>
    <w:p>
      <w:pPr>
        <w:spacing w:after="0" w:line="28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 w:line="27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OLLIE'S BARGAIN OUTLET HOLDINGS, INC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6295 ALLENTOWN BOULEVARD, SUITE 1</w:t>
      </w:r>
    </w:p>
    <w:p>
      <w:pPr>
        <w:spacing w:after="0" w:line="28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8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8"/>
        </w:trPr>
        <w:tc>
          <w:tcPr>
            <w:tcW w:w="19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HARRISBURG  PA</w:t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17112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</w:tr>
      <w:tr>
        <w:trPr>
          <w:trHeight w:val="21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80" w:type="dxa"/>
            <w:vAlign w:val="bottom"/>
            <w:gridSpan w:val="3"/>
          </w:tcPr>
          <w:p>
            <w:pPr>
              <w:spacing w:after="0" w:line="218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Ollie's Bargain Outlet Holdings,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OLLI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149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</w:tr>
      <w:tr>
        <w:trPr>
          <w:trHeight w:val="171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</w:tr>
      <w:tr>
        <w:trPr>
          <w:trHeight w:val="180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</w:tr>
      <w:tr>
        <w:trPr>
          <w:trHeight w:val="217"/>
        </w:trPr>
        <w:tc>
          <w:tcPr>
            <w:tcW w:w="30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04/01/2026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328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92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480" w:space="360"/>
            <w:col w:w="724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184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1"/>
              </w:rPr>
              <w:t>Transaction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2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$0.001 per share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04/01/2026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1,091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 w:line="30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3"/>
                <w:szCs w:val="33"/>
                <w:color w:val="000000"/>
                <w:w w:val="83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33"/>
                <w:szCs w:val="33"/>
                <w:color w:val="0000FF"/>
                <w:w w:val="83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3"/>
              </w:rPr>
              <w:t>(2)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3,075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80" w:type="dxa"/>
            <w:vAlign w:val="bottom"/>
            <w:gridSpan w:val="9"/>
          </w:tcPr>
          <w:p>
            <w:pPr>
              <w:jc w:val="right"/>
              <w:ind w:right="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1,091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ind w:righ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04/01/2026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1,091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61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1,644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ind w:righ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04/01/2026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1,644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1,644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-2190750</wp:posOffset>
            </wp:positionV>
            <wp:extent cx="29210" cy="21958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958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the conversion upon vesting of a restricted stock award into common stock ("Common Stock").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Restricted Stock Units ("RSUs") convert into Common Stock on a one-for-one basis.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of the RSUs represents a contingent right to receive one share of Common Stock at vesting.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RSUs granted on April 1, 2025 vested in their entirety on April 1, 2026.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RSUs granted on April 1, 2026 will vest in their entirety on April 1, 2027.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James J. Comitale as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04/03/2026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5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1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jc w:val="both"/>
        <w:ind w:left="40" w:right="3620" w:firstLine="1"/>
        <w:spacing w:after="0" w:line="335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403594" TargetMode="External"/><Relationship Id="rId14" Type="http://schemas.openxmlformats.org/officeDocument/2006/relationships/hyperlink" Target="http://www.sec.gov/cgi-bin/browse-edgar?action=getcompany&amp;CIK=000163930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2026-04-03T16:02:48Z</dcterms:created>
  <dcterms:modified xsi:type="dcterms:W3CDTF">2026-04-03T16:02:48Z</dcterms:modified>
</cp:coreProperties>
</file>