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3549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336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273050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5" w:lineRule="exact"/>
        <w:rPr>
          <w:sz w:val="24"/>
          <w:szCs w:val="24"/>
          <w:color w:val="auto"/>
        </w:rPr>
      </w:pPr>
    </w:p>
    <w:p>
      <w:pPr>
        <w:ind w:left="3980" w:right="1520" w:hanging="3975"/>
        <w:spacing w:after="0" w:line="488" w:lineRule="auto"/>
        <w:tabs>
          <w:tab w:leader="none" w:pos="79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May 2,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5" w:lineRule="exact"/>
        <w:rPr>
          <w:sz w:val="24"/>
          <w:szCs w:val="24"/>
          <w:color w:val="auto"/>
        </w:rPr>
      </w:pPr>
    </w:p>
    <w:p>
      <w:pPr>
        <w:ind w:left="640" w:hanging="635"/>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Ollie’s Bargain Outlet Holdings, Inc.</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3" w:lineRule="exact"/>
        <w:rPr>
          <w:sz w:val="24"/>
          <w:szCs w:val="24"/>
          <w:color w:val="auto"/>
        </w:rPr>
      </w:pPr>
    </w:p>
    <w:tbl>
      <w:tblPr>
        <w:tblLayout w:type="fixed"/>
        <w:tblInd w:w="130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5040" w:type="dxa"/>
            <w:vAlign w:val="bottom"/>
          </w:tcPr>
          <w:p>
            <w:pPr>
              <w:jc w:val="center"/>
              <w:ind w:right="3192"/>
              <w:spacing w:after="0"/>
              <w:rPr>
                <w:sz w:val="20"/>
                <w:szCs w:val="20"/>
                <w:color w:val="auto"/>
              </w:rPr>
            </w:pPr>
            <w:r>
              <w:rPr>
                <w:rFonts w:ascii="Times New Roman" w:cs="Times New Roman" w:eastAsia="Times New Roman" w:hAnsi="Times New Roman"/>
                <w:sz w:val="18"/>
                <w:szCs w:val="18"/>
                <w:b w:val="1"/>
                <w:bCs w:val="1"/>
                <w:color w:val="auto"/>
                <w:w w:val="98"/>
              </w:rPr>
              <w:t>Delaware</w:t>
            </w:r>
          </w:p>
        </w:tc>
      </w:tr>
      <w:tr>
        <w:trPr>
          <w:trHeight w:val="230"/>
        </w:trPr>
        <w:tc>
          <w:tcPr>
            <w:tcW w:w="84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7"/>
              </w:rPr>
              <w:t>(State or other jurisdiction of incorporation)</w:t>
            </w:r>
          </w:p>
        </w:tc>
      </w:tr>
      <w:tr>
        <w:trPr>
          <w:trHeight w:val="402"/>
        </w:trPr>
        <w:tc>
          <w:tcPr>
            <w:tcW w:w="344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7"/>
              </w:rPr>
              <w:t>001-37501</w:t>
            </w:r>
          </w:p>
        </w:tc>
        <w:tc>
          <w:tcPr>
            <w:tcW w:w="5040" w:type="dxa"/>
            <w:vAlign w:val="bottom"/>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80-0848819</w:t>
            </w:r>
          </w:p>
        </w:tc>
      </w:tr>
      <w:tr>
        <w:trPr>
          <w:trHeight w:val="230"/>
        </w:trPr>
        <w:tc>
          <w:tcPr>
            <w:tcW w:w="344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7"/>
              </w:rPr>
              <w:t>(Commission File Number)</w:t>
            </w:r>
          </w:p>
        </w:tc>
        <w:tc>
          <w:tcPr>
            <w:tcW w:w="5040" w:type="dxa"/>
            <w:vAlign w:val="bottom"/>
          </w:tcPr>
          <w:p>
            <w:pPr>
              <w:jc w:val="center"/>
              <w:ind w:left="2392"/>
              <w:spacing w:after="0"/>
              <w:rPr>
                <w:sz w:val="20"/>
                <w:szCs w:val="20"/>
                <w:color w:val="auto"/>
              </w:rPr>
            </w:pPr>
            <w:r>
              <w:rPr>
                <w:rFonts w:ascii="Times New Roman" w:cs="Times New Roman" w:eastAsia="Times New Roman" w:hAnsi="Times New Roman"/>
                <w:sz w:val="18"/>
                <w:szCs w:val="18"/>
                <w:b w:val="1"/>
                <w:bCs w:val="1"/>
                <w:color w:val="auto"/>
                <w:w w:val="97"/>
              </w:rPr>
              <w:t>(IRS Employer Identification No.)</w:t>
            </w:r>
          </w:p>
        </w:tc>
      </w:tr>
      <w:tr>
        <w:trPr>
          <w:trHeight w:val="402"/>
        </w:trPr>
        <w:tc>
          <w:tcPr>
            <w:tcW w:w="344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8"/>
              </w:rPr>
              <w:t>6295 Allentown Boulevard</w:t>
            </w:r>
          </w:p>
        </w:tc>
        <w:tc>
          <w:tcPr>
            <w:tcW w:w="5040" w:type="dxa"/>
            <w:vAlign w:val="bottom"/>
          </w:tcPr>
          <w:p>
            <w:pPr>
              <w:spacing w:after="0"/>
              <w:rPr>
                <w:sz w:val="24"/>
                <w:szCs w:val="24"/>
                <w:color w:val="auto"/>
              </w:rPr>
            </w:pPr>
          </w:p>
        </w:tc>
      </w:tr>
      <w:tr>
        <w:trPr>
          <w:trHeight w:val="211"/>
        </w:trPr>
        <w:tc>
          <w:tcPr>
            <w:tcW w:w="344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8"/>
              </w:rPr>
              <w:t>Suite 1</w:t>
            </w:r>
          </w:p>
        </w:tc>
        <w:tc>
          <w:tcPr>
            <w:tcW w:w="5040" w:type="dxa"/>
            <w:vAlign w:val="bottom"/>
          </w:tcPr>
          <w:p>
            <w:pPr>
              <w:spacing w:after="0"/>
              <w:rPr>
                <w:sz w:val="18"/>
                <w:szCs w:val="18"/>
                <w:color w:val="auto"/>
              </w:rPr>
            </w:pPr>
          </w:p>
        </w:tc>
      </w:tr>
      <w:tr>
        <w:trPr>
          <w:trHeight w:val="211"/>
        </w:trPr>
        <w:tc>
          <w:tcPr>
            <w:tcW w:w="3440" w:type="dxa"/>
            <w:vAlign w:val="bottom"/>
          </w:tcPr>
          <w:p>
            <w:pPr>
              <w:jc w:val="center"/>
              <w:ind w:right="452"/>
              <w:spacing w:after="0"/>
              <w:rPr>
                <w:sz w:val="20"/>
                <w:szCs w:val="20"/>
                <w:color w:val="auto"/>
              </w:rPr>
            </w:pPr>
            <w:r>
              <w:rPr>
                <w:rFonts w:ascii="Times New Roman" w:cs="Times New Roman" w:eastAsia="Times New Roman" w:hAnsi="Times New Roman"/>
                <w:sz w:val="18"/>
                <w:szCs w:val="18"/>
                <w:b w:val="1"/>
                <w:bCs w:val="1"/>
                <w:color w:val="auto"/>
                <w:w w:val="97"/>
              </w:rPr>
              <w:t>Harrisburg, Pennsylvania</w:t>
            </w:r>
          </w:p>
        </w:tc>
        <w:tc>
          <w:tcPr>
            <w:tcW w:w="5040" w:type="dxa"/>
            <w:vAlign w:val="bottom"/>
          </w:tcPr>
          <w:p>
            <w:pPr>
              <w:jc w:val="right"/>
              <w:ind w:right="972"/>
              <w:spacing w:after="0"/>
              <w:rPr>
                <w:sz w:val="20"/>
                <w:szCs w:val="20"/>
                <w:color w:val="auto"/>
              </w:rPr>
            </w:pPr>
            <w:r>
              <w:rPr>
                <w:rFonts w:ascii="Times New Roman" w:cs="Times New Roman" w:eastAsia="Times New Roman" w:hAnsi="Times New Roman"/>
                <w:sz w:val="18"/>
                <w:szCs w:val="18"/>
                <w:b w:val="1"/>
                <w:bCs w:val="1"/>
                <w:color w:val="auto"/>
              </w:rPr>
              <w:t>17112</w:t>
            </w:r>
          </w:p>
        </w:tc>
      </w:tr>
      <w:tr>
        <w:trPr>
          <w:trHeight w:val="230"/>
        </w:trPr>
        <w:tc>
          <w:tcPr>
            <w:tcW w:w="344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7"/>
              </w:rPr>
              <w:t>(Address of principal executive offices)</w:t>
            </w:r>
          </w:p>
        </w:tc>
        <w:tc>
          <w:tcPr>
            <w:tcW w:w="5040" w:type="dxa"/>
            <w:vAlign w:val="bottom"/>
          </w:tcPr>
          <w:p>
            <w:pPr>
              <w:jc w:val="center"/>
              <w:ind w:left="2372"/>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(717) 657-2300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13549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Title of Each Class</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Trading Symbol</w:t>
            </w:r>
          </w:p>
        </w:tc>
        <w:tc>
          <w:tcPr>
            <w:tcW w:w="3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r>
      <w:tr>
        <w:trPr>
          <w:trHeight w:val="217"/>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Common Stock, $0.001 par value</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OLLI</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bl>
    <w:p>
      <w:pPr>
        <w:spacing w:after="0" w:line="192"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5" w:lineRule="exact"/>
        <w:rPr>
          <w:sz w:val="24"/>
          <w:szCs w:val="24"/>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00" w:hanging="195"/>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01"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2" w:lineRule="exact"/>
        <w:rPr>
          <w:sz w:val="24"/>
          <w:szCs w:val="24"/>
          <w:color w:val="auto"/>
        </w:rPr>
      </w:pPr>
    </w:p>
    <w:p>
      <w:pPr>
        <w:spacing w:after="0" w:line="207" w:lineRule="exact"/>
        <w:tabs>
          <w:tab w:leader="none" w:pos="2140" w:val="left"/>
          <w:tab w:leader="none" w:pos="4300" w:val="left"/>
          <w:tab w:leader="none" w:pos="6440" w:val="left"/>
          <w:tab w:leader="none" w:pos="88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53"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$0.001 par value, outstanding as of May 27, 2026 was 60,453,292.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135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290195</wp:posOffset>
            </wp:positionV>
            <wp:extent cx="713549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336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440690</wp:posOffset>
            </wp:positionV>
            <wp:extent cx="713549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20" w:type="dxa"/>
            <w:vAlign w:val="bottom"/>
            <w:gridSpan w:val="9"/>
          </w:tcPr>
          <w:p>
            <w:pPr>
              <w:ind w:left="136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940" w:type="dxa"/>
            <w:vAlign w:val="bottom"/>
          </w:tcPr>
          <w:p>
            <w:pPr>
              <w:spacing w:after="0"/>
              <w:rPr>
                <w:sz w:val="20"/>
                <w:szCs w:val="20"/>
                <w:color w:val="auto"/>
              </w:rPr>
            </w:pPr>
          </w:p>
        </w:tc>
      </w:tr>
      <w:tr>
        <w:trPr>
          <w:trHeight w:val="392"/>
        </w:trPr>
        <w:tc>
          <w:tcPr>
            <w:tcW w:w="30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6"/>
              </w:rPr>
              <w:t>PART I - FINANCIAL INFORMATION</w:t>
            </w:r>
          </w:p>
        </w:tc>
        <w:tc>
          <w:tcPr>
            <w:tcW w:w="7240" w:type="dxa"/>
            <w:vAlign w:val="bottom"/>
            <w:gridSpan w:val="14"/>
          </w:tcPr>
          <w:p>
            <w:pPr>
              <w:spacing w:after="0"/>
              <w:rPr>
                <w:sz w:val="24"/>
                <w:szCs w:val="24"/>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1"/>
        </w:trPr>
        <w:tc>
          <w:tcPr>
            <w:tcW w:w="2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Item 1.</w:t>
            </w:r>
          </w:p>
        </w:tc>
        <w:tc>
          <w:tcPr>
            <w:tcW w:w="8040" w:type="dxa"/>
            <w:vAlign w:val="bottom"/>
            <w:gridSpan w:val="17"/>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0000EE"/>
              </w:rPr>
              <w:t>Financial Statements</w:t>
            </w:r>
          </w:p>
        </w:tc>
        <w:tc>
          <w:tcPr>
            <w:tcW w:w="940" w:type="dxa"/>
            <w:vAlign w:val="bottom"/>
            <w:shd w:val="clear" w:color="auto" w:fill="CCEEFF"/>
          </w:tcPr>
          <w:p>
            <w:pPr>
              <w:jc w:val="center"/>
              <w:ind w:right="92"/>
              <w:spacing w:after="0" w:line="181" w:lineRule="exact"/>
              <w:rPr>
                <w:sz w:val="20"/>
                <w:szCs w:val="20"/>
                <w:color w:val="auto"/>
              </w:rPr>
            </w:pPr>
            <w:r>
              <w:rPr>
                <w:rFonts w:ascii="Times New Roman" w:cs="Times New Roman" w:eastAsia="Times New Roman" w:hAnsi="Times New Roman"/>
                <w:sz w:val="18"/>
                <w:szCs w:val="18"/>
                <w:color w:val="auto"/>
                <w:w w:val="88"/>
              </w:rPr>
              <w:t>1</w:t>
            </w:r>
          </w:p>
        </w:tc>
      </w:tr>
      <w:tr>
        <w:trPr>
          <w:trHeight w:val="40"/>
        </w:trPr>
        <w:tc>
          <w:tcPr>
            <w:tcW w:w="2260" w:type="dxa"/>
            <w:vAlign w:val="bottom"/>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r>
      <w:tr>
        <w:trPr>
          <w:trHeight w:val="181"/>
        </w:trPr>
        <w:tc>
          <w:tcPr>
            <w:tcW w:w="2260" w:type="dxa"/>
            <w:vAlign w:val="bottom"/>
          </w:tcPr>
          <w:p>
            <w:pPr>
              <w:spacing w:after="0"/>
              <w:rPr>
                <w:sz w:val="15"/>
                <w:szCs w:val="15"/>
                <w:color w:val="auto"/>
              </w:rPr>
            </w:pPr>
          </w:p>
        </w:tc>
        <w:tc>
          <w:tcPr>
            <w:tcW w:w="8040" w:type="dxa"/>
            <w:vAlign w:val="bottom"/>
            <w:gridSpan w:val="17"/>
          </w:tcPr>
          <w:p>
            <w:pPr>
              <w:spacing w:after="0" w:line="171" w:lineRule="exact"/>
              <w:rPr>
                <w:sz w:val="20"/>
                <w:szCs w:val="20"/>
                <w:color w:val="auto"/>
              </w:rPr>
            </w:pPr>
            <w:r>
              <w:rPr>
                <w:rFonts w:ascii="Times New Roman" w:cs="Times New Roman" w:eastAsia="Times New Roman" w:hAnsi="Times New Roman"/>
                <w:sz w:val="18"/>
                <w:szCs w:val="18"/>
                <w:color w:val="0000EE"/>
              </w:rPr>
              <w:t>Condensed Consolidated Statements of Income for the thirteen weeks ended May 2, 2026 and May 3, 2025</w:t>
            </w:r>
          </w:p>
        </w:tc>
        <w:tc>
          <w:tcPr>
            <w:tcW w:w="940" w:type="dxa"/>
            <w:vAlign w:val="bottom"/>
          </w:tcPr>
          <w:p>
            <w:pPr>
              <w:jc w:val="center"/>
              <w:ind w:right="92"/>
              <w:spacing w:after="0" w:line="171" w:lineRule="exact"/>
              <w:rPr>
                <w:sz w:val="20"/>
                <w:szCs w:val="20"/>
                <w:color w:val="auto"/>
              </w:rPr>
            </w:pPr>
            <w:r>
              <w:rPr>
                <w:rFonts w:ascii="Times New Roman" w:cs="Times New Roman" w:eastAsia="Times New Roman" w:hAnsi="Times New Roman"/>
                <w:sz w:val="18"/>
                <w:szCs w:val="18"/>
                <w:color w:val="auto"/>
                <w:w w:val="88"/>
              </w:rPr>
              <w:t>1</w:t>
            </w:r>
          </w:p>
        </w:tc>
      </w:tr>
      <w:tr>
        <w:trPr>
          <w:trHeight w:val="181"/>
        </w:trPr>
        <w:tc>
          <w:tcPr>
            <w:tcW w:w="2260" w:type="dxa"/>
            <w:vAlign w:val="bottom"/>
            <w:shd w:val="clear" w:color="auto" w:fill="CCEEFF"/>
          </w:tcPr>
          <w:p>
            <w:pPr>
              <w:spacing w:after="0"/>
              <w:rPr>
                <w:sz w:val="15"/>
                <w:szCs w:val="15"/>
                <w:color w:val="auto"/>
              </w:rPr>
            </w:pPr>
          </w:p>
        </w:tc>
        <w:tc>
          <w:tcPr>
            <w:tcW w:w="7520" w:type="dxa"/>
            <w:vAlign w:val="bottom"/>
            <w:tcBorders>
              <w:top w:val="single" w:sz="8" w:color="0000EE"/>
            </w:tcBorders>
            <w:gridSpan w:val="14"/>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0000EE"/>
              </w:rPr>
              <w:t>Condensed Consolidated Balance Sheets as of May 2, 2026, January 31, 2026, and May 3, 2025</w:t>
            </w:r>
          </w:p>
        </w:tc>
        <w:tc>
          <w:tcPr>
            <w:tcW w:w="520" w:type="dxa"/>
            <w:vAlign w:val="bottom"/>
            <w:gridSpan w:val="3"/>
            <w:shd w:val="clear" w:color="auto" w:fill="CCEEFF"/>
          </w:tcPr>
          <w:p>
            <w:pPr>
              <w:spacing w:after="0"/>
              <w:rPr>
                <w:sz w:val="15"/>
                <w:szCs w:val="15"/>
                <w:color w:val="auto"/>
              </w:rPr>
            </w:pPr>
          </w:p>
        </w:tc>
        <w:tc>
          <w:tcPr>
            <w:tcW w:w="940" w:type="dxa"/>
            <w:vAlign w:val="bottom"/>
            <w:shd w:val="clear" w:color="auto" w:fill="CCEEFF"/>
          </w:tcPr>
          <w:p>
            <w:pPr>
              <w:jc w:val="center"/>
              <w:ind w:right="92"/>
              <w:spacing w:after="0" w:line="181" w:lineRule="exact"/>
              <w:rPr>
                <w:sz w:val="20"/>
                <w:szCs w:val="20"/>
                <w:color w:val="auto"/>
              </w:rPr>
            </w:pPr>
            <w:r>
              <w:rPr>
                <w:rFonts w:ascii="Times New Roman" w:cs="Times New Roman" w:eastAsia="Times New Roman" w:hAnsi="Times New Roman"/>
                <w:sz w:val="18"/>
                <w:szCs w:val="18"/>
                <w:color w:val="auto"/>
                <w:w w:val="88"/>
              </w:rPr>
              <w:t>2</w:t>
            </w:r>
          </w:p>
        </w:tc>
      </w:tr>
      <w:tr>
        <w:trPr>
          <w:trHeight w:val="40"/>
        </w:trPr>
        <w:tc>
          <w:tcPr>
            <w:tcW w:w="2260" w:type="dxa"/>
            <w:vAlign w:val="bottom"/>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18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4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r>
      <w:tr>
        <w:trPr>
          <w:trHeight w:val="171"/>
        </w:trPr>
        <w:tc>
          <w:tcPr>
            <w:tcW w:w="2260" w:type="dxa"/>
            <w:vAlign w:val="bottom"/>
          </w:tcPr>
          <w:p>
            <w:pPr>
              <w:spacing w:after="0"/>
              <w:rPr>
                <w:sz w:val="14"/>
                <w:szCs w:val="14"/>
                <w:color w:val="auto"/>
              </w:rPr>
            </w:pPr>
          </w:p>
        </w:tc>
        <w:tc>
          <w:tcPr>
            <w:tcW w:w="7560" w:type="dxa"/>
            <w:vAlign w:val="bottom"/>
            <w:tcBorders>
              <w:bottom w:val="single" w:sz="8" w:color="0000EE"/>
            </w:tcBorders>
            <w:gridSpan w:val="15"/>
          </w:tcPr>
          <w:p>
            <w:pPr>
              <w:spacing w:after="0" w:line="171" w:lineRule="exact"/>
              <w:rPr>
                <w:sz w:val="20"/>
                <w:szCs w:val="20"/>
                <w:color w:val="auto"/>
              </w:rPr>
            </w:pPr>
            <w:r>
              <w:rPr>
                <w:rFonts w:ascii="Times New Roman" w:cs="Times New Roman" w:eastAsia="Times New Roman" w:hAnsi="Times New Roman"/>
                <w:sz w:val="18"/>
                <w:szCs w:val="18"/>
                <w:color w:val="0000EE"/>
                <w:w w:val="97"/>
              </w:rPr>
              <w:t>Condensed Consolidated Statements of Stockholders’ Equity for the thirteen weeks ended May 2, 2026 and</w:t>
            </w:r>
          </w:p>
        </w:tc>
        <w:tc>
          <w:tcPr>
            <w:tcW w:w="48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r>
      <w:tr>
        <w:trPr>
          <w:trHeight w:val="201"/>
        </w:trPr>
        <w:tc>
          <w:tcPr>
            <w:tcW w:w="226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1" w:lineRule="exact"/>
              <w:rPr>
                <w:sz w:val="20"/>
                <w:szCs w:val="20"/>
                <w:color w:val="auto"/>
              </w:rPr>
            </w:pPr>
            <w:r>
              <w:rPr>
                <w:rFonts w:ascii="Times New Roman" w:cs="Times New Roman" w:eastAsia="Times New Roman" w:hAnsi="Times New Roman"/>
                <w:sz w:val="18"/>
                <w:szCs w:val="18"/>
                <w:color w:val="0000EE"/>
                <w:w w:val="93"/>
              </w:rPr>
              <w:t>May 3, 2025</w:t>
            </w:r>
          </w:p>
        </w:tc>
        <w:tc>
          <w:tcPr>
            <w:tcW w:w="7140" w:type="dxa"/>
            <w:vAlign w:val="bottom"/>
            <w:gridSpan w:val="13"/>
          </w:tcPr>
          <w:p>
            <w:pPr>
              <w:spacing w:after="0"/>
              <w:rPr>
                <w:sz w:val="17"/>
                <w:szCs w:val="17"/>
                <w:color w:val="auto"/>
              </w:rPr>
            </w:pPr>
          </w:p>
        </w:tc>
        <w:tc>
          <w:tcPr>
            <w:tcW w:w="940" w:type="dxa"/>
            <w:vAlign w:val="bottom"/>
          </w:tcPr>
          <w:p>
            <w:pPr>
              <w:jc w:val="center"/>
              <w:ind w:right="92"/>
              <w:spacing w:after="0" w:line="191" w:lineRule="exact"/>
              <w:rPr>
                <w:sz w:val="20"/>
                <w:szCs w:val="20"/>
                <w:color w:val="auto"/>
              </w:rPr>
            </w:pPr>
            <w:r>
              <w:rPr>
                <w:rFonts w:ascii="Times New Roman" w:cs="Times New Roman" w:eastAsia="Times New Roman" w:hAnsi="Times New Roman"/>
                <w:sz w:val="18"/>
                <w:szCs w:val="18"/>
                <w:color w:val="auto"/>
                <w:w w:val="88"/>
              </w:rPr>
              <w:t>3</w:t>
            </w:r>
          </w:p>
        </w:tc>
      </w:tr>
      <w:tr>
        <w:trPr>
          <w:trHeight w:val="201"/>
        </w:trPr>
        <w:tc>
          <w:tcPr>
            <w:tcW w:w="2260" w:type="dxa"/>
            <w:vAlign w:val="bottom"/>
            <w:shd w:val="clear" w:color="auto" w:fill="CCEEFF"/>
          </w:tcPr>
          <w:p>
            <w:pPr>
              <w:spacing w:after="0"/>
              <w:rPr>
                <w:sz w:val="17"/>
                <w:szCs w:val="17"/>
                <w:color w:val="auto"/>
              </w:rPr>
            </w:pPr>
          </w:p>
        </w:tc>
        <w:tc>
          <w:tcPr>
            <w:tcW w:w="8040" w:type="dxa"/>
            <w:vAlign w:val="bottom"/>
            <w:gridSpan w:val="17"/>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thirteen weeks ended May 2, 2026 and May 3, 2025</w:t>
            </w:r>
          </w:p>
        </w:tc>
        <w:tc>
          <w:tcPr>
            <w:tcW w:w="940" w:type="dxa"/>
            <w:vAlign w:val="bottom"/>
            <w:shd w:val="clear" w:color="auto" w:fill="CCEEFF"/>
          </w:tcPr>
          <w:p>
            <w:pPr>
              <w:jc w:val="center"/>
              <w:ind w:right="92"/>
              <w:spacing w:after="0" w:line="181" w:lineRule="exact"/>
              <w:rPr>
                <w:sz w:val="20"/>
                <w:szCs w:val="20"/>
                <w:color w:val="auto"/>
              </w:rPr>
            </w:pPr>
            <w:r>
              <w:rPr>
                <w:rFonts w:ascii="Times New Roman" w:cs="Times New Roman" w:eastAsia="Times New Roman" w:hAnsi="Times New Roman"/>
                <w:sz w:val="18"/>
                <w:szCs w:val="18"/>
                <w:color w:val="auto"/>
                <w:w w:val="88"/>
              </w:rPr>
              <w:t>4</w:t>
            </w:r>
          </w:p>
        </w:tc>
      </w:tr>
      <w:tr>
        <w:trPr>
          <w:trHeight w:val="181"/>
        </w:trPr>
        <w:tc>
          <w:tcPr>
            <w:tcW w:w="2260" w:type="dxa"/>
            <w:vAlign w:val="bottom"/>
            <w:tcBorders>
              <w:top w:val="single" w:sz="8" w:color="CCEEFF"/>
            </w:tcBorders>
          </w:tcPr>
          <w:p>
            <w:pPr>
              <w:spacing w:after="0"/>
              <w:rPr>
                <w:sz w:val="15"/>
                <w:szCs w:val="15"/>
                <w:color w:val="auto"/>
              </w:rPr>
            </w:pPr>
          </w:p>
        </w:tc>
        <w:tc>
          <w:tcPr>
            <w:tcW w:w="3900" w:type="dxa"/>
            <w:vAlign w:val="bottom"/>
            <w:tcBorders>
              <w:top w:val="single" w:sz="8" w:color="0000EE"/>
              <w:bottom w:val="single" w:sz="8" w:color="0000EE"/>
            </w:tcBorders>
            <w:gridSpan w:val="9"/>
          </w:tcPr>
          <w:p>
            <w:pPr>
              <w:spacing w:after="0" w:line="171" w:lineRule="exact"/>
              <w:rPr>
                <w:sz w:val="20"/>
                <w:szCs w:val="20"/>
                <w:color w:val="auto"/>
              </w:rPr>
            </w:pPr>
            <w:r>
              <w:rPr>
                <w:rFonts w:ascii="Times New Roman" w:cs="Times New Roman" w:eastAsia="Times New Roman" w:hAnsi="Times New Roman"/>
                <w:sz w:val="18"/>
                <w:szCs w:val="18"/>
                <w:color w:val="0000EE"/>
                <w:w w:val="97"/>
              </w:rPr>
              <w:t>Notes to Condensed Consolidated Financial Statements</w:t>
            </w:r>
          </w:p>
        </w:tc>
        <w:tc>
          <w:tcPr>
            <w:tcW w:w="3920" w:type="dxa"/>
            <w:vAlign w:val="bottom"/>
            <w:tcBorders>
              <w:top w:val="single" w:sz="8" w:color="0000EE"/>
            </w:tcBorders>
            <w:gridSpan w:val="7"/>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jc w:val="center"/>
              <w:ind w:right="92"/>
              <w:spacing w:after="0" w:line="171" w:lineRule="exact"/>
              <w:rPr>
                <w:sz w:val="20"/>
                <w:szCs w:val="20"/>
                <w:color w:val="auto"/>
              </w:rPr>
            </w:pPr>
            <w:r>
              <w:rPr>
                <w:rFonts w:ascii="Times New Roman" w:cs="Times New Roman" w:eastAsia="Times New Roman" w:hAnsi="Times New Roman"/>
                <w:sz w:val="18"/>
                <w:szCs w:val="18"/>
                <w:color w:val="auto"/>
                <w:w w:val="88"/>
              </w:rPr>
              <w:t>5</w:t>
            </w:r>
          </w:p>
        </w:tc>
      </w:tr>
      <w:tr>
        <w:trPr>
          <w:trHeight w:val="201"/>
        </w:trPr>
        <w:tc>
          <w:tcPr>
            <w:tcW w:w="226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Item 2.</w:t>
            </w:r>
          </w:p>
        </w:tc>
        <w:tc>
          <w:tcPr>
            <w:tcW w:w="6300" w:type="dxa"/>
            <w:vAlign w:val="bottom"/>
            <w:tcBorders>
              <w:bottom w:val="single" w:sz="8" w:color="0000EE"/>
            </w:tcBorders>
            <w:gridSpan w:val="1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0000EE"/>
                <w:w w:val="97"/>
              </w:rPr>
              <w:t>Management’s Discussion and Analysis of Financial Condition and Results of Operations</w:t>
            </w:r>
          </w:p>
        </w:tc>
        <w:tc>
          <w:tcPr>
            <w:tcW w:w="1740" w:type="dxa"/>
            <w:vAlign w:val="bottom"/>
            <w:tcBorders>
              <w:bottom w:val="single" w:sz="8" w:color="CCEEFF"/>
            </w:tcBorders>
            <w:gridSpan w:val="5"/>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ind w:right="72"/>
              <w:spacing w:after="0" w:line="181" w:lineRule="exact"/>
              <w:rPr>
                <w:sz w:val="20"/>
                <w:szCs w:val="20"/>
                <w:color w:val="auto"/>
              </w:rPr>
            </w:pPr>
            <w:r>
              <w:rPr>
                <w:rFonts w:ascii="Times New Roman" w:cs="Times New Roman" w:eastAsia="Times New Roman" w:hAnsi="Times New Roman"/>
                <w:sz w:val="18"/>
                <w:szCs w:val="18"/>
                <w:color w:val="auto"/>
                <w:w w:val="99"/>
              </w:rPr>
              <w:t>18</w:t>
            </w:r>
          </w:p>
        </w:tc>
      </w:tr>
      <w:tr>
        <w:trPr>
          <w:trHeight w:val="181"/>
        </w:trPr>
        <w:tc>
          <w:tcPr>
            <w:tcW w:w="226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Item 3.</w:t>
            </w:r>
          </w:p>
        </w:tc>
        <w:tc>
          <w:tcPr>
            <w:tcW w:w="4260" w:type="dxa"/>
            <w:vAlign w:val="bottom"/>
            <w:tcBorders>
              <w:bottom w:val="single" w:sz="8" w:color="0000EE"/>
            </w:tcBorders>
            <w:gridSpan w:val="11"/>
          </w:tcPr>
          <w:p>
            <w:pPr>
              <w:spacing w:after="0" w:line="171" w:lineRule="exact"/>
              <w:rPr>
                <w:sz w:val="20"/>
                <w:szCs w:val="20"/>
                <w:color w:val="auto"/>
              </w:rPr>
            </w:pPr>
            <w:r>
              <w:rPr>
                <w:rFonts w:ascii="Times New Roman" w:cs="Times New Roman" w:eastAsia="Times New Roman" w:hAnsi="Times New Roman"/>
                <w:sz w:val="18"/>
                <w:szCs w:val="18"/>
                <w:color w:val="0000EE"/>
                <w:w w:val="97"/>
              </w:rPr>
              <w:t>Quantitative and Qualitative Disclosures About Market Risk</w:t>
            </w:r>
          </w:p>
        </w:tc>
        <w:tc>
          <w:tcPr>
            <w:tcW w:w="3780" w:type="dxa"/>
            <w:vAlign w:val="bottom"/>
            <w:gridSpan w:val="6"/>
          </w:tcPr>
          <w:p>
            <w:pPr>
              <w:spacing w:after="0"/>
              <w:rPr>
                <w:sz w:val="15"/>
                <w:szCs w:val="15"/>
                <w:color w:val="auto"/>
              </w:rPr>
            </w:pPr>
          </w:p>
        </w:tc>
        <w:tc>
          <w:tcPr>
            <w:tcW w:w="940" w:type="dxa"/>
            <w:vAlign w:val="bottom"/>
          </w:tcPr>
          <w:p>
            <w:pPr>
              <w:jc w:val="center"/>
              <w:ind w:right="72"/>
              <w:spacing w:after="0" w:line="171" w:lineRule="exact"/>
              <w:rPr>
                <w:sz w:val="20"/>
                <w:szCs w:val="20"/>
                <w:color w:val="auto"/>
              </w:rPr>
            </w:pPr>
            <w:r>
              <w:rPr>
                <w:rFonts w:ascii="Times New Roman" w:cs="Times New Roman" w:eastAsia="Times New Roman" w:hAnsi="Times New Roman"/>
                <w:sz w:val="18"/>
                <w:szCs w:val="18"/>
                <w:color w:val="auto"/>
                <w:w w:val="99"/>
              </w:rPr>
              <w:t>26</w:t>
            </w:r>
          </w:p>
        </w:tc>
      </w:tr>
      <w:tr>
        <w:trPr>
          <w:trHeight w:val="201"/>
        </w:trPr>
        <w:tc>
          <w:tcPr>
            <w:tcW w:w="2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Item 4.</w:t>
            </w:r>
          </w:p>
        </w:tc>
        <w:tc>
          <w:tcPr>
            <w:tcW w:w="8040" w:type="dxa"/>
            <w:vAlign w:val="bottom"/>
            <w:gridSpan w:val="17"/>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0000EE"/>
              </w:rPr>
              <w:t>Controls and Procedures</w:t>
            </w:r>
          </w:p>
        </w:tc>
        <w:tc>
          <w:tcPr>
            <w:tcW w:w="940" w:type="dxa"/>
            <w:vAlign w:val="bottom"/>
            <w:shd w:val="clear" w:color="auto" w:fill="CCEEFF"/>
          </w:tcPr>
          <w:p>
            <w:pPr>
              <w:jc w:val="center"/>
              <w:ind w:right="72"/>
              <w:spacing w:after="0" w:line="181" w:lineRule="exact"/>
              <w:rPr>
                <w:sz w:val="20"/>
                <w:szCs w:val="20"/>
                <w:color w:val="auto"/>
              </w:rPr>
            </w:pPr>
            <w:r>
              <w:rPr>
                <w:rFonts w:ascii="Times New Roman" w:cs="Times New Roman" w:eastAsia="Times New Roman" w:hAnsi="Times New Roman"/>
                <w:sz w:val="18"/>
                <w:szCs w:val="18"/>
                <w:color w:val="auto"/>
                <w:w w:val="99"/>
              </w:rPr>
              <w:t>26</w:t>
            </w:r>
          </w:p>
        </w:tc>
      </w:tr>
      <w:tr>
        <w:trPr>
          <w:trHeight w:val="211"/>
        </w:trPr>
        <w:tc>
          <w:tcPr>
            <w:tcW w:w="22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71"/>
        </w:trPr>
        <w:tc>
          <w:tcPr>
            <w:tcW w:w="10300" w:type="dxa"/>
            <w:vAlign w:val="bottom"/>
            <w:gridSpan w:val="18"/>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940" w:type="dxa"/>
            <w:vAlign w:val="bottom"/>
            <w:shd w:val="clear" w:color="auto" w:fill="CCEEFF"/>
          </w:tcPr>
          <w:p>
            <w:pPr>
              <w:spacing w:after="0"/>
              <w:rPr>
                <w:sz w:val="14"/>
                <w:szCs w:val="14"/>
                <w:color w:val="auto"/>
              </w:rPr>
            </w:pPr>
          </w:p>
        </w:tc>
      </w:tr>
      <w:tr>
        <w:trPr>
          <w:trHeight w:val="40"/>
        </w:trPr>
        <w:tc>
          <w:tcPr>
            <w:tcW w:w="226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r>
      <w:tr>
        <w:trPr>
          <w:trHeight w:val="181"/>
        </w:trPr>
        <w:tc>
          <w:tcPr>
            <w:tcW w:w="226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Item 1.</w:t>
            </w:r>
          </w:p>
        </w:tc>
        <w:tc>
          <w:tcPr>
            <w:tcW w:w="1300" w:type="dxa"/>
            <w:vAlign w:val="bottom"/>
            <w:tcBorders>
              <w:bottom w:val="single" w:sz="8" w:color="0000EE"/>
            </w:tcBorders>
            <w:gridSpan w:val="6"/>
          </w:tcPr>
          <w:p>
            <w:pPr>
              <w:spacing w:after="0" w:line="171" w:lineRule="exact"/>
              <w:rPr>
                <w:sz w:val="20"/>
                <w:szCs w:val="20"/>
                <w:color w:val="auto"/>
              </w:rPr>
            </w:pPr>
            <w:r>
              <w:rPr>
                <w:rFonts w:ascii="Times New Roman" w:cs="Times New Roman" w:eastAsia="Times New Roman" w:hAnsi="Times New Roman"/>
                <w:sz w:val="18"/>
                <w:szCs w:val="18"/>
                <w:color w:val="0000EE"/>
                <w:w w:val="95"/>
              </w:rPr>
              <w:t>Legal Proceedings</w:t>
            </w:r>
          </w:p>
        </w:tc>
        <w:tc>
          <w:tcPr>
            <w:tcW w:w="6740" w:type="dxa"/>
            <w:vAlign w:val="bottom"/>
            <w:gridSpan w:val="11"/>
          </w:tcPr>
          <w:p>
            <w:pPr>
              <w:spacing w:after="0"/>
              <w:rPr>
                <w:sz w:val="15"/>
                <w:szCs w:val="15"/>
                <w:color w:val="auto"/>
              </w:rPr>
            </w:pPr>
          </w:p>
        </w:tc>
        <w:tc>
          <w:tcPr>
            <w:tcW w:w="940" w:type="dxa"/>
            <w:vAlign w:val="bottom"/>
          </w:tcPr>
          <w:p>
            <w:pPr>
              <w:jc w:val="center"/>
              <w:ind w:right="72"/>
              <w:spacing w:after="0" w:line="171" w:lineRule="exact"/>
              <w:rPr>
                <w:sz w:val="20"/>
                <w:szCs w:val="20"/>
                <w:color w:val="auto"/>
              </w:rPr>
            </w:pPr>
            <w:r>
              <w:rPr>
                <w:rFonts w:ascii="Times New Roman" w:cs="Times New Roman" w:eastAsia="Times New Roman" w:hAnsi="Times New Roman"/>
                <w:sz w:val="18"/>
                <w:szCs w:val="18"/>
                <w:color w:val="auto"/>
                <w:w w:val="99"/>
              </w:rPr>
              <w:t>27</w:t>
            </w:r>
          </w:p>
        </w:tc>
      </w:tr>
      <w:tr>
        <w:trPr>
          <w:trHeight w:val="181"/>
        </w:trPr>
        <w:tc>
          <w:tcPr>
            <w:tcW w:w="2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Item 1A.</w:t>
            </w:r>
          </w:p>
        </w:tc>
        <w:tc>
          <w:tcPr>
            <w:tcW w:w="8040" w:type="dxa"/>
            <w:vAlign w:val="bottom"/>
            <w:gridSpan w:val="17"/>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0000EE"/>
              </w:rPr>
              <w:t>Risk Factors</w:t>
            </w:r>
          </w:p>
        </w:tc>
        <w:tc>
          <w:tcPr>
            <w:tcW w:w="940" w:type="dxa"/>
            <w:vAlign w:val="bottom"/>
            <w:shd w:val="clear" w:color="auto" w:fill="CCEEFF"/>
          </w:tcPr>
          <w:p>
            <w:pPr>
              <w:jc w:val="center"/>
              <w:ind w:right="72"/>
              <w:spacing w:after="0" w:line="181" w:lineRule="exact"/>
              <w:rPr>
                <w:sz w:val="20"/>
                <w:szCs w:val="20"/>
                <w:color w:val="auto"/>
              </w:rPr>
            </w:pPr>
            <w:r>
              <w:rPr>
                <w:rFonts w:ascii="Times New Roman" w:cs="Times New Roman" w:eastAsia="Times New Roman" w:hAnsi="Times New Roman"/>
                <w:sz w:val="18"/>
                <w:szCs w:val="18"/>
                <w:color w:val="auto"/>
                <w:w w:val="99"/>
              </w:rPr>
              <w:t>27</w:t>
            </w:r>
          </w:p>
        </w:tc>
      </w:tr>
      <w:tr>
        <w:trPr>
          <w:trHeight w:val="40"/>
        </w:trPr>
        <w:tc>
          <w:tcPr>
            <w:tcW w:w="2260" w:type="dxa"/>
            <w:vAlign w:val="bottom"/>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00" w:type="dxa"/>
            <w:vAlign w:val="bottom"/>
            <w:tcBorders>
              <w:right w:val="single" w:sz="8" w:color="CCEEFF"/>
            </w:tcBorders>
            <w:shd w:val="clear" w:color="auto" w:fill="0000EE"/>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r>
      <w:tr>
        <w:trPr>
          <w:trHeight w:val="181"/>
        </w:trPr>
        <w:tc>
          <w:tcPr>
            <w:tcW w:w="226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Item 2.</w:t>
            </w:r>
          </w:p>
        </w:tc>
        <w:tc>
          <w:tcPr>
            <w:tcW w:w="8040" w:type="dxa"/>
            <w:vAlign w:val="bottom"/>
            <w:gridSpan w:val="17"/>
          </w:tcPr>
          <w:p>
            <w:pPr>
              <w:spacing w:after="0" w:line="171"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40" w:type="dxa"/>
            <w:vAlign w:val="bottom"/>
          </w:tcPr>
          <w:p>
            <w:pPr>
              <w:jc w:val="center"/>
              <w:ind w:right="72"/>
              <w:spacing w:after="0" w:line="171" w:lineRule="exact"/>
              <w:rPr>
                <w:sz w:val="20"/>
                <w:szCs w:val="20"/>
                <w:color w:val="auto"/>
              </w:rPr>
            </w:pPr>
            <w:r>
              <w:rPr>
                <w:rFonts w:ascii="Times New Roman" w:cs="Times New Roman" w:eastAsia="Times New Roman" w:hAnsi="Times New Roman"/>
                <w:sz w:val="18"/>
                <w:szCs w:val="18"/>
                <w:color w:val="auto"/>
                <w:w w:val="99"/>
              </w:rPr>
              <w:t>27</w:t>
            </w:r>
          </w:p>
        </w:tc>
      </w:tr>
      <w:tr>
        <w:trPr>
          <w:trHeight w:val="201"/>
        </w:trPr>
        <w:tc>
          <w:tcPr>
            <w:tcW w:w="2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Item 5.</w:t>
            </w:r>
          </w:p>
        </w:tc>
        <w:tc>
          <w:tcPr>
            <w:tcW w:w="4240" w:type="dxa"/>
            <w:vAlign w:val="bottom"/>
            <w:tcBorders>
              <w:top w:val="single" w:sz="8" w:color="0000EE"/>
            </w:tcBorders>
            <w:gridSpan w:val="10"/>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0000EE"/>
              </w:rPr>
              <w:t>Other Information</w:t>
            </w:r>
          </w:p>
        </w:tc>
        <w:tc>
          <w:tcPr>
            <w:tcW w:w="3800" w:type="dxa"/>
            <w:vAlign w:val="bottom"/>
            <w:gridSpan w:val="7"/>
            <w:shd w:val="clear" w:color="auto" w:fill="CCEEFF"/>
          </w:tcPr>
          <w:p>
            <w:pPr>
              <w:spacing w:after="0"/>
              <w:rPr>
                <w:sz w:val="17"/>
                <w:szCs w:val="17"/>
                <w:color w:val="auto"/>
              </w:rPr>
            </w:pPr>
          </w:p>
        </w:tc>
        <w:tc>
          <w:tcPr>
            <w:tcW w:w="940" w:type="dxa"/>
            <w:vAlign w:val="bottom"/>
            <w:shd w:val="clear" w:color="auto" w:fill="CCEEFF"/>
          </w:tcPr>
          <w:p>
            <w:pPr>
              <w:jc w:val="center"/>
              <w:ind w:right="72"/>
              <w:spacing w:after="0" w:line="181" w:lineRule="exact"/>
              <w:rPr>
                <w:sz w:val="20"/>
                <w:szCs w:val="20"/>
                <w:color w:val="auto"/>
              </w:rPr>
            </w:pPr>
            <w:r>
              <w:rPr>
                <w:rFonts w:ascii="Times New Roman" w:cs="Times New Roman" w:eastAsia="Times New Roman" w:hAnsi="Times New Roman"/>
                <w:sz w:val="18"/>
                <w:szCs w:val="18"/>
                <w:color w:val="auto"/>
                <w:w w:val="99"/>
              </w:rPr>
              <w:t>27</w:t>
            </w:r>
          </w:p>
        </w:tc>
      </w:tr>
      <w:tr>
        <w:trPr>
          <w:trHeight w:val="171"/>
        </w:trPr>
        <w:tc>
          <w:tcPr>
            <w:tcW w:w="226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Item 6.</w:t>
            </w:r>
          </w:p>
        </w:tc>
        <w:tc>
          <w:tcPr>
            <w:tcW w:w="1280" w:type="dxa"/>
            <w:vAlign w:val="bottom"/>
            <w:tcBorders>
              <w:top w:val="single" w:sz="8" w:color="0000EE"/>
            </w:tcBorders>
            <w:gridSpan w:val="5"/>
          </w:tcPr>
          <w:p>
            <w:pPr>
              <w:spacing w:after="0" w:line="171" w:lineRule="exact"/>
              <w:rPr>
                <w:sz w:val="20"/>
                <w:szCs w:val="20"/>
                <w:color w:val="auto"/>
              </w:rPr>
            </w:pPr>
            <w:r>
              <w:rPr>
                <w:rFonts w:ascii="Times New Roman" w:cs="Times New Roman" w:eastAsia="Times New Roman" w:hAnsi="Times New Roman"/>
                <w:sz w:val="18"/>
                <w:szCs w:val="18"/>
                <w:color w:val="0000EE"/>
              </w:rPr>
              <w:t>Exhibits</w:t>
            </w:r>
          </w:p>
        </w:tc>
        <w:tc>
          <w:tcPr>
            <w:tcW w:w="6760" w:type="dxa"/>
            <w:vAlign w:val="bottom"/>
            <w:tcBorders>
              <w:top w:val="single" w:sz="8" w:color="CCEEFF"/>
            </w:tcBorders>
            <w:gridSpan w:val="12"/>
          </w:tcPr>
          <w:p>
            <w:pPr>
              <w:spacing w:after="0"/>
              <w:rPr>
                <w:sz w:val="14"/>
                <w:szCs w:val="14"/>
                <w:color w:val="auto"/>
              </w:rPr>
            </w:pPr>
          </w:p>
        </w:tc>
        <w:tc>
          <w:tcPr>
            <w:tcW w:w="940" w:type="dxa"/>
            <w:vAlign w:val="bottom"/>
            <w:tcBorders>
              <w:top w:val="single" w:sz="8" w:color="CCEEFF"/>
            </w:tcBorders>
          </w:tcPr>
          <w:p>
            <w:pPr>
              <w:jc w:val="center"/>
              <w:ind w:right="72"/>
              <w:spacing w:after="0" w:line="171" w:lineRule="exact"/>
              <w:rPr>
                <w:sz w:val="20"/>
                <w:szCs w:val="20"/>
                <w:color w:val="auto"/>
              </w:rPr>
            </w:pPr>
            <w:r>
              <w:rPr>
                <w:rFonts w:ascii="Times New Roman" w:cs="Times New Roman" w:eastAsia="Times New Roman" w:hAnsi="Times New Roman"/>
                <w:sz w:val="18"/>
                <w:szCs w:val="18"/>
                <w:color w:val="auto"/>
                <w:w w:val="99"/>
              </w:rPr>
              <w:t>28</w:t>
            </w:r>
          </w:p>
        </w:tc>
      </w:tr>
      <w:tr>
        <w:trPr>
          <w:trHeight w:val="408"/>
        </w:trPr>
        <w:tc>
          <w:tcPr>
            <w:tcW w:w="226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CONDENSED CONSOLIDATED FINANCIAL STATEMENTS (UNAUDITED)</w:t>
      </w: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90"/>
        </w:trPr>
        <w:tc>
          <w:tcPr>
            <w:tcW w:w="86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440"/>
              <w:spacing w:after="0" w:line="190" w:lineRule="exact"/>
              <w:rPr>
                <w:sz w:val="20"/>
                <w:szCs w:val="20"/>
                <w:color w:val="auto"/>
              </w:rPr>
            </w:pPr>
            <w:r>
              <w:rPr>
                <w:rFonts w:ascii="Times New Roman" w:cs="Times New Roman" w:eastAsia="Times New Roman" w:hAnsi="Times New Roman"/>
                <w:sz w:val="18"/>
                <w:szCs w:val="18"/>
                <w:b w:val="1"/>
                <w:bCs w:val="1"/>
                <w:color w:val="auto"/>
              </w:rPr>
              <w:t>May 2,</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2"/>
              <w:spacing w:after="0" w:line="190" w:lineRule="exact"/>
              <w:rPr>
                <w:sz w:val="20"/>
                <w:szCs w:val="20"/>
                <w:color w:val="auto"/>
              </w:rPr>
            </w:pPr>
            <w:r>
              <w:rPr>
                <w:rFonts w:ascii="Times New Roman" w:cs="Times New Roman" w:eastAsia="Times New Roman" w:hAnsi="Times New Roman"/>
                <w:sz w:val="18"/>
                <w:szCs w:val="18"/>
                <w:b w:val="1"/>
                <w:bCs w:val="1"/>
                <w:color w:val="auto"/>
              </w:rPr>
              <w:t>May 3,</w:t>
            </w: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576,767</w:t>
            </w:r>
          </w:p>
        </w:tc>
        <w:tc>
          <w:tcPr>
            <w:tcW w:w="100" w:type="dxa"/>
            <w:vAlign w:val="bottom"/>
            <w:shd w:val="clear" w:color="auto" w:fill="CCEEFF"/>
          </w:tcPr>
          <w:p>
            <w:pPr>
              <w:spacing w:after="0"/>
              <w:rPr>
                <w:sz w:val="18"/>
                <w:szCs w:val="18"/>
                <w:color w:val="auto"/>
              </w:rPr>
            </w:pPr>
          </w:p>
        </w:tc>
      </w:tr>
      <w:tr>
        <w:trPr>
          <w:trHeight w:val="21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339,736</w:t>
            </w:r>
          </w:p>
        </w:tc>
        <w:tc>
          <w:tcPr>
            <w:tcW w:w="100" w:type="dxa"/>
            <w:vAlign w:val="bottom"/>
          </w:tcPr>
          <w:p>
            <w:pPr>
              <w:spacing w:after="0"/>
              <w:rPr>
                <w:sz w:val="18"/>
                <w:szCs w:val="18"/>
                <w:color w:val="auto"/>
              </w:rPr>
            </w:pPr>
          </w:p>
        </w:tc>
      </w:tr>
      <w:tr>
        <w:trPr>
          <w:trHeight w:val="21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237,031</w:t>
            </w:r>
          </w:p>
        </w:tc>
        <w:tc>
          <w:tcPr>
            <w:tcW w:w="100" w:type="dxa"/>
            <w:vAlign w:val="bottom"/>
            <w:shd w:val="clear" w:color="auto" w:fill="CCEEFF"/>
          </w:tcPr>
          <w:p>
            <w:pPr>
              <w:spacing w:after="0"/>
              <w:rPr>
                <w:sz w:val="18"/>
                <w:szCs w:val="18"/>
                <w:color w:val="auto"/>
              </w:rPr>
            </w:pPr>
          </w:p>
        </w:tc>
      </w:tr>
      <w:tr>
        <w:trPr>
          <w:trHeight w:val="211"/>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164,832</w:t>
            </w:r>
          </w:p>
        </w:tc>
        <w:tc>
          <w:tcPr>
            <w:tcW w:w="100" w:type="dxa"/>
            <w:vAlign w:val="bottom"/>
          </w:tcPr>
          <w:p>
            <w:pPr>
              <w:spacing w:after="0"/>
              <w:rPr>
                <w:sz w:val="18"/>
                <w:szCs w:val="18"/>
                <w:color w:val="auto"/>
              </w:rPr>
            </w:pPr>
          </w:p>
        </w:tc>
      </w:tr>
      <w:tr>
        <w:trPr>
          <w:trHeight w:val="21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100" w:type="dxa"/>
            <w:vAlign w:val="bottom"/>
            <w:shd w:val="clear" w:color="auto" w:fill="CCEEFF"/>
          </w:tcPr>
          <w:p>
            <w:pPr>
              <w:spacing w:after="0"/>
              <w:rPr>
                <w:sz w:val="18"/>
                <w:szCs w:val="18"/>
                <w:color w:val="auto"/>
              </w:rPr>
            </w:pPr>
          </w:p>
        </w:tc>
      </w:tr>
      <w:tr>
        <w:trPr>
          <w:trHeight w:val="21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Pre-opening expenses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100" w:type="dxa"/>
            <w:vAlign w:val="bottom"/>
          </w:tcPr>
          <w:p>
            <w:pPr>
              <w:spacing w:after="0"/>
              <w:rPr>
                <w:sz w:val="18"/>
                <w:szCs w:val="18"/>
                <w:color w:val="auto"/>
              </w:rPr>
            </w:pPr>
          </w:p>
        </w:tc>
      </w:tr>
      <w:tr>
        <w:trPr>
          <w:trHeight w:val="211"/>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56,186</w:t>
            </w:r>
          </w:p>
        </w:tc>
        <w:tc>
          <w:tcPr>
            <w:tcW w:w="100" w:type="dxa"/>
            <w:vAlign w:val="bottom"/>
            <w:shd w:val="clear" w:color="auto" w:fill="CCEEFF"/>
          </w:tcPr>
          <w:p>
            <w:pPr>
              <w:spacing w:after="0"/>
              <w:rPr>
                <w:sz w:val="18"/>
                <w:szCs w:val="18"/>
                <w:color w:val="auto"/>
              </w:rPr>
            </w:pPr>
          </w:p>
        </w:tc>
      </w:tr>
      <w:tr>
        <w:trPr>
          <w:trHeight w:val="21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(4,788)</w:t>
            </w:r>
          </w:p>
        </w:tc>
      </w:tr>
      <w:tr>
        <w:trPr>
          <w:trHeight w:val="21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60,974</w:t>
            </w:r>
          </w:p>
        </w:tc>
        <w:tc>
          <w:tcPr>
            <w:tcW w:w="100" w:type="dxa"/>
            <w:vAlign w:val="bottom"/>
            <w:shd w:val="clear" w:color="auto" w:fill="CCEEFF"/>
          </w:tcPr>
          <w:p>
            <w:pPr>
              <w:spacing w:after="0"/>
              <w:rPr>
                <w:sz w:val="18"/>
                <w:szCs w:val="18"/>
                <w:color w:val="auto"/>
              </w:rPr>
            </w:pPr>
          </w:p>
        </w:tc>
      </w:tr>
      <w:tr>
        <w:trPr>
          <w:trHeight w:val="21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13,414</w:t>
            </w:r>
          </w:p>
        </w:tc>
      </w:tr>
      <w:tr>
        <w:trPr>
          <w:trHeight w:val="251"/>
        </w:trPr>
        <w:tc>
          <w:tcPr>
            <w:tcW w:w="86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0.78</w:t>
            </w:r>
          </w:p>
        </w:tc>
      </w:tr>
      <w:tr>
        <w:trPr>
          <w:trHeight w:val="211"/>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40" w:type="dxa"/>
            <w:vAlign w:val="bottom"/>
          </w:tcPr>
          <w:p>
            <w:pPr>
              <w:spacing w:after="0"/>
              <w:rPr>
                <w:sz w:val="18"/>
                <w:szCs w:val="18"/>
                <w:color w:val="auto"/>
              </w:rPr>
            </w:pPr>
          </w:p>
        </w:tc>
        <w:tc>
          <w:tcPr>
            <w:tcW w:w="2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0.77</w:t>
            </w:r>
          </w:p>
        </w:tc>
      </w:tr>
      <w:tr>
        <w:trPr>
          <w:trHeight w:val="21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61,343</w:t>
            </w:r>
          </w:p>
        </w:tc>
      </w:tr>
      <w:tr>
        <w:trPr>
          <w:trHeight w:val="211"/>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61,816</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5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357"/>
        </w:trPr>
        <w:tc>
          <w:tcPr>
            <w:tcW w:w="320" w:type="dxa"/>
            <w:vAlign w:val="bottom"/>
            <w:tcBorders>
              <w:top w:val="single" w:sz="8" w:color="0000EE"/>
            </w:tcBorders>
          </w:tcPr>
          <w:p>
            <w:pPr>
              <w:spacing w:after="0"/>
              <w:rPr>
                <w:sz w:val="24"/>
                <w:szCs w:val="24"/>
                <w:color w:val="auto"/>
              </w:rPr>
            </w:pPr>
          </w:p>
        </w:tc>
        <w:tc>
          <w:tcPr>
            <w:tcW w:w="8220" w:type="dxa"/>
            <w:vAlign w:val="bottom"/>
          </w:tcPr>
          <w:p>
            <w:pPr>
              <w:jc w:val="center"/>
              <w:ind w:left="2392"/>
              <w:spacing w:after="0"/>
              <w:rPr>
                <w:sz w:val="20"/>
                <w:szCs w:val="20"/>
                <w:color w:val="auto"/>
              </w:rPr>
            </w:pPr>
            <w:r>
              <w:rPr>
                <w:rFonts w:ascii="Times New Roman" w:cs="Times New Roman" w:eastAsia="Times New Roman" w:hAnsi="Times New Roman"/>
                <w:sz w:val="18"/>
                <w:szCs w:val="18"/>
                <w:b w:val="1"/>
                <w:bCs w:val="1"/>
                <w:color w:val="auto"/>
                <w:w w:val="97"/>
              </w:rPr>
              <w:t>OLLIE’S BARGAIN OUTLET HOLDINGS, INC. AND SUBSIDIARIES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1"/>
        </w:trPr>
        <w:tc>
          <w:tcPr>
            <w:tcW w:w="320" w:type="dxa"/>
            <w:vAlign w:val="bottom"/>
          </w:tcPr>
          <w:p>
            <w:pPr>
              <w:spacing w:after="0"/>
              <w:rPr>
                <w:sz w:val="18"/>
                <w:szCs w:val="18"/>
                <w:color w:val="auto"/>
              </w:rPr>
            </w:pPr>
          </w:p>
        </w:tc>
        <w:tc>
          <w:tcPr>
            <w:tcW w:w="8220" w:type="dxa"/>
            <w:vAlign w:val="bottom"/>
          </w:tcPr>
          <w:p>
            <w:pPr>
              <w:jc w:val="center"/>
              <w:ind w:left="2392"/>
              <w:spacing w:after="0"/>
              <w:rPr>
                <w:sz w:val="20"/>
                <w:szCs w:val="20"/>
                <w:color w:val="auto"/>
              </w:rPr>
            </w:pPr>
            <w:r>
              <w:rPr>
                <w:rFonts w:ascii="Times New Roman" w:cs="Times New Roman" w:eastAsia="Times New Roman" w:hAnsi="Times New Roman"/>
                <w:sz w:val="18"/>
                <w:szCs w:val="18"/>
                <w:color w:val="auto"/>
                <w:w w:val="97"/>
              </w:rPr>
              <w:t>Condensed Consolidated Balance Sheets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1"/>
        </w:trPr>
        <w:tc>
          <w:tcPr>
            <w:tcW w:w="320" w:type="dxa"/>
            <w:vAlign w:val="bottom"/>
          </w:tcPr>
          <w:p>
            <w:pPr>
              <w:spacing w:after="0"/>
              <w:rPr>
                <w:sz w:val="18"/>
                <w:szCs w:val="18"/>
                <w:color w:val="auto"/>
              </w:rPr>
            </w:pPr>
          </w:p>
        </w:tc>
        <w:tc>
          <w:tcPr>
            <w:tcW w:w="8220" w:type="dxa"/>
            <w:vAlign w:val="bottom"/>
          </w:tcPr>
          <w:p>
            <w:pPr>
              <w:jc w:val="center"/>
              <w:ind w:left="2392"/>
              <w:spacing w:after="0"/>
              <w:rPr>
                <w:sz w:val="20"/>
                <w:szCs w:val="20"/>
                <w:color w:val="auto"/>
              </w:rPr>
            </w:pPr>
            <w:r>
              <w:rPr>
                <w:rFonts w:ascii="Times New Roman" w:cs="Times New Roman" w:eastAsia="Times New Roman" w:hAnsi="Times New Roman"/>
                <w:sz w:val="18"/>
                <w:szCs w:val="18"/>
                <w:color w:val="auto"/>
                <w:w w:val="96"/>
              </w:rPr>
              <w:t>(In thousands, except per share amounts)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8"/>
        </w:trPr>
        <w:tc>
          <w:tcPr>
            <w:tcW w:w="320" w:type="dxa"/>
            <w:vAlign w:val="bottom"/>
          </w:tcPr>
          <w:p>
            <w:pPr>
              <w:spacing w:after="0"/>
              <w:rPr>
                <w:sz w:val="19"/>
                <w:szCs w:val="19"/>
                <w:color w:val="auto"/>
              </w:rPr>
            </w:pPr>
          </w:p>
        </w:tc>
        <w:tc>
          <w:tcPr>
            <w:tcW w:w="8220" w:type="dxa"/>
            <w:vAlign w:val="bottom"/>
          </w:tcPr>
          <w:p>
            <w:pPr>
              <w:jc w:val="center"/>
              <w:ind w:left="2392"/>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02"/>
        </w:trPr>
        <w:tc>
          <w:tcPr>
            <w:tcW w:w="3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00" w:type="dxa"/>
            <w:vAlign w:val="bottom"/>
          </w:tcPr>
          <w:p>
            <w:pPr>
              <w:spacing w:after="0"/>
              <w:rPr>
                <w:sz w:val="24"/>
                <w:szCs w:val="24"/>
                <w:color w:val="auto"/>
              </w:rPr>
            </w:pP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May 3,</w:t>
            </w:r>
          </w:p>
        </w:tc>
      </w:tr>
      <w:tr>
        <w:trPr>
          <w:trHeight w:val="238"/>
        </w:trPr>
        <w:tc>
          <w:tcPr>
            <w:tcW w:w="320" w:type="dxa"/>
            <w:vAlign w:val="bottom"/>
          </w:tcPr>
          <w:p>
            <w:pPr>
              <w:spacing w:after="0"/>
              <w:rPr>
                <w:sz w:val="20"/>
                <w:szCs w:val="20"/>
                <w:color w:val="auto"/>
              </w:rPr>
            </w:pPr>
          </w:p>
        </w:tc>
        <w:tc>
          <w:tcPr>
            <w:tcW w:w="822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1"/>
        </w:trPr>
        <w:tc>
          <w:tcPr>
            <w:tcW w:w="8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259,680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199,018</w:t>
            </w:r>
          </w:p>
        </w:tc>
      </w:tr>
      <w:tr>
        <w:trPr>
          <w:trHeight w:val="211"/>
        </w:trPr>
        <w:tc>
          <w:tcPr>
            <w:tcW w:w="8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51,886</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36,628</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170,490</w:t>
            </w:r>
          </w:p>
        </w:tc>
      </w:tr>
      <w:tr>
        <w:trPr>
          <w:trHeight w:val="211"/>
        </w:trPr>
        <w:tc>
          <w:tcPr>
            <w:tcW w:w="8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650,260</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611,852</w:t>
            </w:r>
          </w:p>
        </w:tc>
      </w:tr>
      <w:tr>
        <w:trPr>
          <w:trHeight w:val="211"/>
        </w:trPr>
        <w:tc>
          <w:tcPr>
            <w:tcW w:w="8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r>
      <w:tr>
        <w:trPr>
          <w:trHeight w:val="211"/>
        </w:trPr>
        <w:tc>
          <w:tcPr>
            <w:tcW w:w="8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19,621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13,692</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14,313</w:t>
            </w:r>
          </w:p>
        </w:tc>
      </w:tr>
      <w:tr>
        <w:trPr>
          <w:trHeight w:val="26"/>
        </w:trPr>
        <w:tc>
          <w:tcPr>
            <w:tcW w:w="320" w:type="dxa"/>
            <w:vAlign w:val="bottom"/>
            <w:shd w:val="clear" w:color="auto" w:fill="CCEEFF"/>
          </w:tcPr>
          <w:p>
            <w:pPr>
              <w:spacing w:after="0"/>
              <w:rPr>
                <w:sz w:val="2"/>
                <w:szCs w:val="2"/>
                <w:color w:val="auto"/>
              </w:rPr>
            </w:pPr>
          </w:p>
        </w:tc>
        <w:tc>
          <w:tcPr>
            <w:tcW w:w="8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r>
      <w:tr>
        <w:trPr>
          <w:trHeight w:val="211"/>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960,989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998,021</w:t>
            </w:r>
          </w:p>
        </w:tc>
      </w:tr>
      <w:tr>
        <w:trPr>
          <w:trHeight w:val="211"/>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$283,752, $271,267 and $239,255, respectively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382,242</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346,151</w:t>
            </w:r>
          </w:p>
        </w:tc>
      </w:tr>
      <w:tr>
        <w:trPr>
          <w:trHeight w:val="211"/>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663,848</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639,664</w:t>
            </w:r>
          </w:p>
        </w:tc>
      </w:tr>
      <w:tr>
        <w:trPr>
          <w:trHeight w:val="211"/>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444,850</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444,850</w:t>
            </w:r>
          </w:p>
        </w:tc>
      </w:tr>
      <w:tr>
        <w:trPr>
          <w:trHeight w:val="211"/>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230,559</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230,559</w:t>
            </w:r>
          </w:p>
        </w:tc>
      </w:tr>
      <w:tr>
        <w:trPr>
          <w:trHeight w:val="211"/>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266,455</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45,355</w:t>
            </w:r>
          </w:p>
        </w:tc>
      </w:tr>
      <w:tr>
        <w:trPr>
          <w:trHeight w:val="217"/>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r>
      <w:tr>
        <w:trPr>
          <w:trHeight w:val="251"/>
        </w:trPr>
        <w:tc>
          <w:tcPr>
            <w:tcW w:w="3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2,993,899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2,954,953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2,706,979</w:t>
            </w:r>
          </w:p>
        </w:tc>
      </w:tr>
      <w:tr>
        <w:trPr>
          <w:trHeight w:val="203"/>
        </w:trPr>
        <w:tc>
          <w:tcPr>
            <w:tcW w:w="320" w:type="dxa"/>
            <w:vAlign w:val="bottom"/>
          </w:tcPr>
          <w:p>
            <w:pPr>
              <w:spacing w:after="0"/>
              <w:rPr>
                <w:sz w:val="17"/>
                <w:szCs w:val="17"/>
                <w:color w:val="auto"/>
              </w:rPr>
            </w:pPr>
          </w:p>
        </w:tc>
        <w:tc>
          <w:tcPr>
            <w:tcW w:w="8220" w:type="dxa"/>
            <w:vAlign w:val="bottom"/>
          </w:tcPr>
          <w:p>
            <w:pPr>
              <w:ind w:left="258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1"/>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r>
      <w:tr>
        <w:trPr>
          <w:trHeight w:val="211"/>
        </w:trPr>
        <w:tc>
          <w:tcPr>
            <w:tcW w:w="8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11"/>
        </w:trPr>
        <w:tc>
          <w:tcPr>
            <w:tcW w:w="8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169,345</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137,869</w:t>
            </w:r>
          </w:p>
        </w:tc>
      </w:tr>
      <w:tr>
        <w:trPr>
          <w:trHeight w:val="211"/>
        </w:trPr>
        <w:tc>
          <w:tcPr>
            <w:tcW w:w="8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25,952</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9,823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14,364</w:t>
            </w:r>
          </w:p>
        </w:tc>
      </w:tr>
      <w:tr>
        <w:trPr>
          <w:trHeight w:val="211"/>
        </w:trPr>
        <w:tc>
          <w:tcPr>
            <w:tcW w:w="8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111,764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108,854</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99,767</w:t>
            </w:r>
          </w:p>
        </w:tc>
      </w:tr>
      <w:tr>
        <w:trPr>
          <w:trHeight w:val="217"/>
        </w:trPr>
        <w:tc>
          <w:tcPr>
            <w:tcW w:w="8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111,857</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95,238</w:t>
            </w:r>
          </w:p>
        </w:tc>
      </w:tr>
      <w:tr>
        <w:trPr>
          <w:trHeight w:val="211"/>
        </w:trPr>
        <w:tc>
          <w:tcPr>
            <w:tcW w:w="320" w:type="dxa"/>
            <w:vAlign w:val="bottom"/>
            <w:shd w:val="clear" w:color="auto" w:fill="CCEEFF"/>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414,220</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400,448</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347,804</w:t>
            </w:r>
          </w:p>
        </w:tc>
      </w:tr>
      <w:tr>
        <w:trPr>
          <w:trHeight w:val="211"/>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11"/>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91,905</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89,924</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81,006</w:t>
            </w:r>
          </w:p>
        </w:tc>
      </w:tr>
      <w:tr>
        <w:trPr>
          <w:trHeight w:val="211"/>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547,431</w:t>
            </w:r>
          </w:p>
        </w:tc>
      </w:tr>
      <w:tr>
        <w:trPr>
          <w:trHeight w:val="26"/>
        </w:trPr>
        <w:tc>
          <w:tcPr>
            <w:tcW w:w="320" w:type="dxa"/>
            <w:vAlign w:val="bottom"/>
            <w:shd w:val="clear" w:color="auto" w:fill="CCEEFF"/>
          </w:tcPr>
          <w:p>
            <w:pPr>
              <w:spacing w:after="0"/>
              <w:rPr>
                <w:sz w:val="2"/>
                <w:szCs w:val="2"/>
                <w:color w:val="auto"/>
              </w:rPr>
            </w:pPr>
          </w:p>
        </w:tc>
        <w:tc>
          <w:tcPr>
            <w:tcW w:w="8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1,103,813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1,066,877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977,166</w:t>
            </w:r>
          </w:p>
        </w:tc>
      </w:tr>
      <w:tr>
        <w:trPr>
          <w:trHeight w:val="211"/>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r>
      <w:tr>
        <w:trPr>
          <w:trHeight w:val="211"/>
        </w:trPr>
        <w:tc>
          <w:tcPr>
            <w:tcW w:w="8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Preferred stock - 50,000 shares authorized at $0.001 par value; no shares issued</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8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Common stock - 500,000 shares authorized at $0.001 par value; 67,939, 67,840 and 67,650 shares issued, respectively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1"/>
        </w:trPr>
        <w:tc>
          <w:tcPr>
            <w:tcW w:w="8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761,300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739,333</w:t>
            </w:r>
          </w:p>
        </w:tc>
      </w:tr>
      <w:tr>
        <w:trPr>
          <w:trHeight w:val="211"/>
        </w:trPr>
        <w:tc>
          <w:tcPr>
            <w:tcW w:w="8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1,664,709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1,608,309</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1,415,273</w:t>
            </w:r>
          </w:p>
        </w:tc>
      </w:tr>
      <w:tr>
        <w:trPr>
          <w:trHeight w:val="217"/>
        </w:trPr>
        <w:tc>
          <w:tcPr>
            <w:tcW w:w="8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Treasury - common stock, at cost; 7,292, 6,750 and 6,273 shares, respectively</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(534,967)</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(481,601)</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(424,861)</w:t>
            </w:r>
          </w:p>
        </w:tc>
      </w:tr>
      <w:tr>
        <w:trPr>
          <w:trHeight w:val="217"/>
        </w:trPr>
        <w:tc>
          <w:tcPr>
            <w:tcW w:w="320" w:type="dxa"/>
            <w:vAlign w:val="bottom"/>
            <w:tcBorders>
              <w:bottom w:val="single" w:sz="8" w:color="CCEEFF"/>
            </w:tcBorders>
            <w:shd w:val="clear" w:color="auto" w:fill="CCEEFF"/>
          </w:tcPr>
          <w:p>
            <w:pPr>
              <w:spacing w:after="0"/>
              <w:rPr>
                <w:sz w:val="18"/>
                <w:szCs w:val="18"/>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1,890,086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1,888,076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1,729,813</w:t>
            </w:r>
          </w:p>
        </w:tc>
      </w:tr>
      <w:tr>
        <w:trPr>
          <w:trHeight w:val="211"/>
        </w:trPr>
        <w:tc>
          <w:tcPr>
            <w:tcW w:w="3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2,993,899</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2,954,953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2,706,979</w:t>
            </w:r>
          </w:p>
        </w:tc>
      </w:tr>
      <w:tr>
        <w:trPr>
          <w:trHeight w:val="20"/>
        </w:trPr>
        <w:tc>
          <w:tcPr>
            <w:tcW w:w="3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340"/>
          </w:cols>
          <w:pgMar w:left="320" w:top="11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38"/>
        </w:trPr>
        <w:tc>
          <w:tcPr>
            <w:tcW w:w="3280" w:type="dxa"/>
            <w:vAlign w:val="bottom"/>
          </w:tcPr>
          <w:p>
            <w:pPr>
              <w:spacing w:after="0"/>
              <w:rPr>
                <w:sz w:val="20"/>
                <w:szCs w:val="20"/>
                <w:color w:val="auto"/>
              </w:rPr>
            </w:pPr>
          </w:p>
        </w:tc>
        <w:tc>
          <w:tcPr>
            <w:tcW w:w="228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8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4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20"/>
                <w:szCs w:val="20"/>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stockholders’</w:t>
            </w:r>
          </w:p>
        </w:tc>
      </w:tr>
      <w:tr>
        <w:trPr>
          <w:trHeight w:val="217"/>
        </w:trPr>
        <w:tc>
          <w:tcPr>
            <w:tcW w:w="32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6"/>
              </w:rPr>
              <w:t>earnings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r>
      <w:tr>
        <w:trPr>
          <w:trHeight w:val="211"/>
        </w:trPr>
        <w:tc>
          <w:tcPr>
            <w:tcW w:w="3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31, 2026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(6,750)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(481,601)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761,300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1,608,309</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1,888,076</w:t>
            </w:r>
          </w:p>
        </w:tc>
        <w:tc>
          <w:tcPr>
            <w:tcW w:w="100" w:type="dxa"/>
            <w:vAlign w:val="bottom"/>
            <w:shd w:val="clear" w:color="auto" w:fill="CCEEFF"/>
          </w:tcPr>
          <w:p>
            <w:pPr>
              <w:spacing w:after="0"/>
              <w:rPr>
                <w:sz w:val="18"/>
                <w:szCs w:val="18"/>
                <w:color w:val="auto"/>
              </w:rPr>
            </w:pPr>
          </w:p>
        </w:tc>
      </w:tr>
      <w:tr>
        <w:trPr>
          <w:trHeight w:val="211"/>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Pr>
          <w:p>
            <w:pPr>
              <w:spacing w:after="0"/>
              <w:rPr>
                <w:sz w:val="18"/>
                <w:szCs w:val="18"/>
                <w:color w:val="auto"/>
              </w:rPr>
            </w:pPr>
          </w:p>
        </w:tc>
      </w:tr>
      <w:tr>
        <w:trPr>
          <w:trHeight w:val="21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w:t>
            </w:r>
          </w:p>
        </w:tc>
      </w:tr>
      <w:tr>
        <w:trPr>
          <w:trHeight w:val="211"/>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withheld for taxes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(4,814)</w:t>
            </w:r>
          </w:p>
        </w:tc>
      </w:tr>
      <w:tr>
        <w:trPr>
          <w:trHeight w:val="211"/>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(53,366)</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(53,366)</w:t>
            </w:r>
          </w:p>
        </w:tc>
      </w:tr>
      <w:tr>
        <w:trPr>
          <w:trHeight w:val="21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56,400</w:t>
            </w:r>
          </w:p>
        </w:tc>
      </w:tr>
      <w:tr>
        <w:trPr>
          <w:trHeight w:val="26"/>
        </w:trPr>
        <w:tc>
          <w:tcPr>
            <w:tcW w:w="32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May 2, 2026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67,939</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(7,292)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(534,967)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760,276</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1,664,709</w:t>
            </w:r>
          </w:p>
        </w:tc>
        <w:tc>
          <w:tcPr>
            <w:tcW w:w="100" w:type="dxa"/>
            <w:vAlign w:val="bottom"/>
          </w:tcPr>
          <w:p>
            <w:pPr>
              <w:spacing w:after="0"/>
              <w:rPr>
                <w:sz w:val="18"/>
                <w:szCs w:val="18"/>
                <w:color w:val="auto"/>
              </w:rPr>
            </w:pP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1,890,086</w:t>
            </w:r>
          </w:p>
        </w:tc>
        <w:tc>
          <w:tcPr>
            <w:tcW w:w="10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3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10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February 1, 2025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(6,113)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(407,754)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735,284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1,367,713</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1,695,310</w:t>
            </w:r>
          </w:p>
        </w:tc>
        <w:tc>
          <w:tcPr>
            <w:tcW w:w="100" w:type="dxa"/>
            <w:vAlign w:val="bottom"/>
            <w:shd w:val="clear" w:color="auto" w:fill="CCEEFF"/>
          </w:tcPr>
          <w:p>
            <w:pPr>
              <w:spacing w:after="0"/>
              <w:rPr>
                <w:sz w:val="18"/>
                <w:szCs w:val="18"/>
                <w:color w:val="auto"/>
              </w:rPr>
            </w:pPr>
          </w:p>
        </w:tc>
      </w:tr>
      <w:tr>
        <w:trPr>
          <w:trHeight w:val="211"/>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tcPr>
          <w:p>
            <w:pPr>
              <w:spacing w:after="0"/>
              <w:rPr>
                <w:sz w:val="18"/>
                <w:szCs w:val="18"/>
                <w:color w:val="auto"/>
              </w:rPr>
            </w:pPr>
          </w:p>
        </w:tc>
      </w:tr>
      <w:tr>
        <w:trPr>
          <w:trHeight w:val="21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100" w:type="dxa"/>
            <w:vAlign w:val="bottom"/>
            <w:shd w:val="clear" w:color="auto" w:fill="CCEEFF"/>
          </w:tcPr>
          <w:p>
            <w:pPr>
              <w:spacing w:after="0"/>
              <w:rPr>
                <w:sz w:val="18"/>
                <w:szCs w:val="18"/>
                <w:color w:val="auto"/>
              </w:rPr>
            </w:pPr>
          </w:p>
        </w:tc>
      </w:tr>
      <w:tr>
        <w:trPr>
          <w:trHeight w:val="211"/>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withheld for taxes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(5,270)</w:t>
            </w:r>
          </w:p>
        </w:tc>
      </w:tr>
      <w:tr>
        <w:trPr>
          <w:trHeight w:val="211"/>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(17,107)</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(17,107)</w:t>
            </w:r>
          </w:p>
        </w:tc>
      </w:tr>
      <w:tr>
        <w:trPr>
          <w:trHeight w:val="211"/>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47,560</w:t>
            </w:r>
          </w:p>
        </w:tc>
      </w:tr>
      <w:tr>
        <w:trPr>
          <w:trHeight w:val="26"/>
        </w:trPr>
        <w:tc>
          <w:tcPr>
            <w:tcW w:w="32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May 3, 2025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67,650</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(6,273)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(424,861)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739,333</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1,415,273</w:t>
            </w:r>
          </w:p>
        </w:tc>
        <w:tc>
          <w:tcPr>
            <w:tcW w:w="100" w:type="dxa"/>
            <w:vAlign w:val="bottom"/>
          </w:tcPr>
          <w:p>
            <w:pPr>
              <w:spacing w:after="0"/>
              <w:rPr>
                <w:sz w:val="18"/>
                <w:szCs w:val="18"/>
                <w:color w:val="auto"/>
              </w:rPr>
            </w:pP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1,729,813</w:t>
            </w:r>
          </w:p>
        </w:tc>
        <w:tc>
          <w:tcPr>
            <w:tcW w:w="10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57"/>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252"/>
              <w:spacing w:after="0"/>
              <w:rPr>
                <w:sz w:val="20"/>
                <w:szCs w:val="20"/>
                <w:color w:val="auto"/>
              </w:rPr>
            </w:pPr>
            <w:r>
              <w:rPr>
                <w:rFonts w:ascii="Times New Roman" w:cs="Times New Roman" w:eastAsia="Times New Roman" w:hAnsi="Times New Roman"/>
                <w:sz w:val="18"/>
                <w:szCs w:val="18"/>
                <w:b w:val="1"/>
                <w:bCs w:val="1"/>
                <w:color w:val="auto"/>
                <w:w w:val="97"/>
              </w:rPr>
              <w:t>OLLIE’S BARGAIN OUTLET HOLDINGS, INC. AND SUBSIDIARIES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320" w:type="dxa"/>
            <w:vAlign w:val="bottom"/>
          </w:tcPr>
          <w:p>
            <w:pPr>
              <w:spacing w:after="0"/>
              <w:rPr>
                <w:sz w:val="18"/>
                <w:szCs w:val="18"/>
                <w:color w:val="auto"/>
              </w:rPr>
            </w:pPr>
          </w:p>
        </w:tc>
        <w:tc>
          <w:tcPr>
            <w:tcW w:w="8360" w:type="dxa"/>
            <w:vAlign w:val="bottom"/>
          </w:tcPr>
          <w:p>
            <w:pPr>
              <w:jc w:val="center"/>
              <w:ind w:left="2252"/>
              <w:spacing w:after="0"/>
              <w:rPr>
                <w:sz w:val="20"/>
                <w:szCs w:val="20"/>
                <w:color w:val="auto"/>
              </w:rPr>
            </w:pPr>
            <w:r>
              <w:rPr>
                <w:rFonts w:ascii="Times New Roman" w:cs="Times New Roman" w:eastAsia="Times New Roman" w:hAnsi="Times New Roman"/>
                <w:sz w:val="18"/>
                <w:szCs w:val="18"/>
                <w:color w:val="auto"/>
                <w:w w:val="97"/>
              </w:rPr>
              <w:t>Condensed Consolidated Statements of Cash Flows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320" w:type="dxa"/>
            <w:vAlign w:val="bottom"/>
          </w:tcPr>
          <w:p>
            <w:pPr>
              <w:spacing w:after="0"/>
              <w:rPr>
                <w:sz w:val="18"/>
                <w:szCs w:val="18"/>
                <w:color w:val="auto"/>
              </w:rPr>
            </w:pPr>
          </w:p>
        </w:tc>
        <w:tc>
          <w:tcPr>
            <w:tcW w:w="8360" w:type="dxa"/>
            <w:vAlign w:val="bottom"/>
          </w:tcPr>
          <w:p>
            <w:pPr>
              <w:jc w:val="center"/>
              <w:ind w:left="2252"/>
              <w:spacing w:after="0"/>
              <w:rPr>
                <w:sz w:val="20"/>
                <w:szCs w:val="20"/>
                <w:color w:val="auto"/>
              </w:rPr>
            </w:pPr>
            <w:r>
              <w:rPr>
                <w:rFonts w:ascii="Times New Roman" w:cs="Times New Roman" w:eastAsia="Times New Roman" w:hAnsi="Times New Roman"/>
                <w:sz w:val="18"/>
                <w:szCs w:val="18"/>
                <w:color w:val="auto"/>
                <w:w w:val="98"/>
              </w:rPr>
              <w:t>(In thousands)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320" w:type="dxa"/>
            <w:vAlign w:val="bottom"/>
          </w:tcPr>
          <w:p>
            <w:pPr>
              <w:spacing w:after="0"/>
              <w:rPr>
                <w:sz w:val="19"/>
                <w:szCs w:val="19"/>
                <w:color w:val="auto"/>
              </w:rPr>
            </w:pPr>
          </w:p>
        </w:tc>
        <w:tc>
          <w:tcPr>
            <w:tcW w:w="8360" w:type="dxa"/>
            <w:vAlign w:val="bottom"/>
          </w:tcPr>
          <w:p>
            <w:pPr>
              <w:jc w:val="center"/>
              <w:ind w:left="2252"/>
              <w:spacing w:after="0"/>
              <w:rPr>
                <w:sz w:val="20"/>
                <w:szCs w:val="20"/>
                <w:color w:val="auto"/>
              </w:rPr>
            </w:pPr>
            <w:r>
              <w:rPr>
                <w:rFonts w:ascii="Times New Roman" w:cs="Times New Roman" w:eastAsia="Times New Roman" w:hAnsi="Times New Roman"/>
                <w:sz w:val="18"/>
                <w:szCs w:val="18"/>
                <w:color w:val="auto"/>
                <w:w w:val="98"/>
              </w:rPr>
              <w:t>(Unaudited)</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90"/>
        </w:trPr>
        <w:tc>
          <w:tcPr>
            <w:tcW w:w="3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ind w:right="440"/>
              <w:spacing w:after="0" w:line="190" w:lineRule="exact"/>
              <w:rPr>
                <w:sz w:val="20"/>
                <w:szCs w:val="20"/>
                <w:color w:val="auto"/>
              </w:rPr>
            </w:pPr>
            <w:r>
              <w:rPr>
                <w:rFonts w:ascii="Times New Roman" w:cs="Times New Roman" w:eastAsia="Times New Roman" w:hAnsi="Times New Roman"/>
                <w:sz w:val="18"/>
                <w:szCs w:val="18"/>
                <w:b w:val="1"/>
                <w:bCs w:val="1"/>
                <w:color w:val="auto"/>
              </w:rPr>
              <w:t>May 2,</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12"/>
              <w:spacing w:after="0" w:line="190" w:lineRule="exact"/>
              <w:rPr>
                <w:sz w:val="20"/>
                <w:szCs w:val="20"/>
                <w:color w:val="auto"/>
              </w:rPr>
            </w:pPr>
            <w:r>
              <w:rPr>
                <w:rFonts w:ascii="Times New Roman" w:cs="Times New Roman" w:eastAsia="Times New Roman" w:hAnsi="Times New Roman"/>
                <w:sz w:val="18"/>
                <w:szCs w:val="18"/>
                <w:b w:val="1"/>
                <w:bCs w:val="1"/>
                <w:color w:val="auto"/>
              </w:rPr>
              <w:t>May 3,</w:t>
            </w:r>
          </w:p>
        </w:tc>
        <w:tc>
          <w:tcPr>
            <w:tcW w:w="100" w:type="dxa"/>
            <w:vAlign w:val="bottom"/>
          </w:tcPr>
          <w:p>
            <w:pPr>
              <w:spacing w:after="0"/>
              <w:rPr>
                <w:sz w:val="16"/>
                <w:szCs w:val="16"/>
                <w:color w:val="auto"/>
              </w:rPr>
            </w:pPr>
          </w:p>
        </w:tc>
      </w:tr>
      <w:tr>
        <w:trPr>
          <w:trHeight w:val="238"/>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47,560</w:t>
            </w:r>
          </w:p>
        </w:tc>
      </w:tr>
      <w:tr>
        <w:trPr>
          <w:trHeight w:val="211"/>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12,772</w:t>
            </w:r>
          </w:p>
        </w:tc>
      </w:tr>
      <w:tr>
        <w:trPr>
          <w:trHeight w:val="211"/>
        </w:trPr>
        <w:tc>
          <w:tcPr>
            <w:tcW w:w="3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11"/>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1"/>
        </w:trPr>
        <w:tc>
          <w:tcPr>
            <w:tcW w:w="3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r>
      <w:tr>
        <w:trPr>
          <w:trHeight w:val="211"/>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shd w:val="clear" w:color="auto" w:fill="CCEEFF"/>
          </w:tcPr>
          <w:p>
            <w:pPr>
              <w:spacing w:after="0"/>
              <w:rPr>
                <w:sz w:val="18"/>
                <w:szCs w:val="18"/>
                <w:color w:val="auto"/>
              </w:rPr>
            </w:pPr>
          </w:p>
        </w:tc>
      </w:tr>
      <w:tr>
        <w:trPr>
          <w:trHeight w:val="211"/>
        </w:trPr>
        <w:tc>
          <w:tcPr>
            <w:tcW w:w="3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(752)</w:t>
            </w:r>
          </w:p>
        </w:tc>
      </w:tr>
      <w:tr>
        <w:trPr>
          <w:trHeight w:val="211"/>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32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(36,662)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(59,310)</w:t>
            </w:r>
          </w:p>
        </w:tc>
      </w:tr>
      <w:tr>
        <w:trPr>
          <w:trHeight w:val="211"/>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1"/>
        </w:trPr>
        <w:tc>
          <w:tcPr>
            <w:tcW w:w="32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(4,230)</w:t>
            </w:r>
          </w:p>
        </w:tc>
      </w:tr>
      <w:tr>
        <w:trPr>
          <w:trHeight w:val="211"/>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100" w:type="dxa"/>
            <w:vAlign w:val="bottom"/>
            <w:shd w:val="clear" w:color="auto" w:fill="CCEEFF"/>
          </w:tcPr>
          <w:p>
            <w:pPr>
              <w:spacing w:after="0"/>
              <w:rPr>
                <w:sz w:val="18"/>
                <w:szCs w:val="18"/>
                <w:color w:val="auto"/>
              </w:rPr>
            </w:pPr>
          </w:p>
        </w:tc>
      </w:tr>
      <w:tr>
        <w:trPr>
          <w:trHeight w:val="211"/>
        </w:trPr>
        <w:tc>
          <w:tcPr>
            <w:tcW w:w="32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12,657</w:t>
            </w:r>
          </w:p>
        </w:tc>
      </w:tr>
      <w:tr>
        <w:trPr>
          <w:trHeight w:val="217"/>
        </w:trPr>
        <w:tc>
          <w:tcPr>
            <w:tcW w:w="320" w:type="dxa"/>
            <w:vAlign w:val="bottom"/>
            <w:tcBorders>
              <w:bottom w:val="single" w:sz="8" w:color="CCEEFF"/>
            </w:tcBorders>
            <w:shd w:val="clear" w:color="auto" w:fill="CCEEFF"/>
          </w:tcPr>
          <w:p>
            <w:pPr>
              <w:spacing w:after="0"/>
              <w:rPr>
                <w:sz w:val="18"/>
                <w:szCs w:val="18"/>
                <w:color w:val="auto"/>
              </w:rPr>
            </w:pPr>
          </w:p>
        </w:tc>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7"/>
        </w:trPr>
        <w:tc>
          <w:tcPr>
            <w:tcW w:w="3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28,702</w:t>
            </w:r>
          </w:p>
        </w:tc>
      </w:tr>
      <w:tr>
        <w:trPr>
          <w:trHeight w:val="211"/>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(25,474)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(26,740)</w:t>
            </w:r>
          </w:p>
        </w:tc>
      </w:tr>
      <w:tr>
        <w:trPr>
          <w:trHeight w:val="211"/>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r>
      <w:tr>
        <w:trPr>
          <w:trHeight w:val="211"/>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(118,994)</w:t>
            </w:r>
          </w:p>
        </w:tc>
      </w:tr>
      <w:tr>
        <w:trPr>
          <w:trHeight w:val="217"/>
        </w:trPr>
        <w:tc>
          <w:tcPr>
            <w:tcW w:w="86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7"/>
        </w:trPr>
        <w:tc>
          <w:tcPr>
            <w:tcW w:w="3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(49,561)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(18,266)</w:t>
            </w:r>
          </w:p>
        </w:tc>
      </w:tr>
      <w:tr>
        <w:trPr>
          <w:trHeight w:val="211"/>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Repayments on finance leases</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w:t>
            </w:r>
          </w:p>
        </w:tc>
      </w:tr>
      <w:tr>
        <w:trPr>
          <w:trHeight w:val="211"/>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100" w:type="dxa"/>
            <w:vAlign w:val="bottom"/>
            <w:shd w:val="clear" w:color="auto" w:fill="CCEEFF"/>
          </w:tcPr>
          <w:p>
            <w:pPr>
              <w:spacing w:after="0"/>
              <w:rPr>
                <w:sz w:val="18"/>
                <w:szCs w:val="18"/>
                <w:color w:val="auto"/>
              </w:rPr>
            </w:pPr>
          </w:p>
        </w:tc>
      </w:tr>
      <w:tr>
        <w:trPr>
          <w:trHeight w:val="211"/>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shares withheld for taxes</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(5,270)</w:t>
            </w:r>
          </w:p>
        </w:tc>
      </w:tr>
      <w:tr>
        <w:trPr>
          <w:trHeight w:val="211"/>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for shares repurchased</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(53,366)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(17,107)</w:t>
            </w:r>
          </w:p>
        </w:tc>
      </w:tr>
      <w:tr>
        <w:trPr>
          <w:trHeight w:val="26"/>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(57,947)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(16,541)</w:t>
            </w:r>
          </w:p>
        </w:tc>
      </w:tr>
      <w:tr>
        <w:trPr>
          <w:trHeight w:val="211"/>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shd w:val="clear" w:color="auto" w:fill="CCEEFF"/>
          </w:tcPr>
          <w:p>
            <w:pPr>
              <w:spacing w:after="0"/>
              <w:rPr>
                <w:sz w:val="18"/>
                <w:szCs w:val="18"/>
                <w:color w:val="auto"/>
              </w:rPr>
            </w:pPr>
          </w:p>
        </w:tc>
      </w:tr>
      <w:tr>
        <w:trPr>
          <w:trHeight w:val="21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beginning of the period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205,123</w:t>
            </w:r>
          </w:p>
        </w:tc>
        <w:tc>
          <w:tcPr>
            <w:tcW w:w="100" w:type="dxa"/>
            <w:vAlign w:val="bottom"/>
          </w:tcPr>
          <w:p>
            <w:pPr>
              <w:spacing w:after="0"/>
              <w:rPr>
                <w:sz w:val="18"/>
                <w:szCs w:val="18"/>
                <w:color w:val="auto"/>
              </w:rPr>
            </w:pPr>
          </w:p>
        </w:tc>
      </w:tr>
      <w:tr>
        <w:trPr>
          <w:trHeight w:val="251"/>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the period</w:t>
            </w: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197,673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199,018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3"/>
        </w:trPr>
        <w:tc>
          <w:tcPr>
            <w:tcW w:w="86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3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8"/>
                <w:szCs w:val="18"/>
                <w:color w:val="auto"/>
              </w:rPr>
            </w:pPr>
          </w:p>
        </w:tc>
        <w:tc>
          <w:tcPr>
            <w:tcW w:w="2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r>
      <w:tr>
        <w:trPr>
          <w:trHeight w:val="211"/>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r>
      <w:tr>
        <w:trPr>
          <w:trHeight w:val="211"/>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12,952</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00" w:type="dxa"/>
            <w:vAlign w:val="bottom"/>
            <w:shd w:val="clear" w:color="auto" w:fill="CCEEFF"/>
          </w:tcPr>
          <w:p>
            <w:pPr>
              <w:spacing w:after="0"/>
              <w:rPr>
                <w:sz w:val="18"/>
                <w:szCs w:val="18"/>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 2026 and May 3,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5" w:lineRule="exact"/>
        <w:rPr>
          <w:sz w:val="20"/>
          <w:szCs w:val="20"/>
          <w:color w:val="auto"/>
        </w:rPr>
      </w:pPr>
    </w:p>
    <w:p>
      <w:pPr>
        <w:ind w:left="480" w:hanging="475"/>
        <w:spacing w:after="0"/>
        <w:tabs>
          <w:tab w:leader="none" w:pos="4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212" w:lineRule="exact"/>
        <w:rPr>
          <w:rFonts w:ascii="Times New Roman" w:cs="Times New Roman" w:eastAsia="Times New Roman" w:hAnsi="Times New Roman"/>
          <w:sz w:val="18"/>
          <w:szCs w:val="18"/>
          <w:b w:val="1"/>
          <w:bCs w:val="1"/>
          <w:color w:val="auto"/>
        </w:rPr>
      </w:pPr>
    </w:p>
    <w:p>
      <w:pPr>
        <w:ind w:left="960" w:hanging="480"/>
        <w:spacing w:after="0"/>
        <w:tabs>
          <w:tab w:leader="none" w:pos="960" w:val="left"/>
        </w:tabs>
        <w:numPr>
          <w:ilvl w:val="1"/>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18" w:lineRule="exact"/>
        <w:rPr>
          <w:rFonts w:ascii="Times New Roman" w:cs="Times New Roman" w:eastAsia="Times New Roman" w:hAnsi="Times New Roman"/>
          <w:sz w:val="18"/>
          <w:szCs w:val="18"/>
          <w:b w:val="1"/>
          <w:bCs w:val="1"/>
          <w:i w:val="1"/>
          <w:iCs w:val="1"/>
          <w:color w:val="auto"/>
        </w:rPr>
      </w:pPr>
    </w:p>
    <w:p>
      <w:pPr>
        <w:jc w:val="both"/>
        <w:ind w:left="96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Ollie’s Bargain Outlet Holdings, Inc. and subsidiaries (collectively referred to as the “Company” or “Ollie’s”) is a leading off-price retailer of brand name household products. The Company principally buys and sells overproduced, overstocked, and closeout merchandise from manufacturers, wholesalers, and other retailers. In addition, the Company augments its name-brand closeout deals with directly sourced private label products to enhance its offerings in select key merchandise categories.</w:t>
      </w:r>
    </w:p>
    <w:p>
      <w:pPr>
        <w:spacing w:after="0" w:line="184" w:lineRule="exact"/>
        <w:rPr>
          <w:rFonts w:ascii="Times New Roman" w:cs="Times New Roman" w:eastAsia="Times New Roman" w:hAnsi="Times New Roman"/>
          <w:sz w:val="18"/>
          <w:szCs w:val="18"/>
          <w:b w:val="1"/>
          <w:bCs w:val="1"/>
          <w:i w:val="1"/>
          <w:iCs w:val="1"/>
          <w:color w:val="auto"/>
        </w:rPr>
      </w:pPr>
    </w:p>
    <w:p>
      <w:pPr>
        <w:jc w:val="both"/>
        <w:ind w:left="96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Since its first store opened in 1982, the Company has grown to 672 retail locations in 35 states as of May 2, 2026. Ollie’s retail locations are located in Alabama, Arkansas, Connecticut, Delaware, Florida, Georgia, Illinois, Indiana, Iowa, Kansas, Kentucky, Louisiana, Maine, Maryland, Massachusetts, Michigan, Minnesota, Mississippi, Missouri, Nebraska, New Hampshire, New Jersey, New York, North Carolina, Ohio, Oklahoma, Pennsylvania, Rhode Island, South Carolina, Tennessee, Texas, Vermont, Virginia, West Virginia, and Wisconsin.</w:t>
      </w:r>
    </w:p>
    <w:p>
      <w:pPr>
        <w:spacing w:after="0" w:line="180" w:lineRule="exact"/>
        <w:rPr>
          <w:rFonts w:ascii="Times New Roman" w:cs="Times New Roman" w:eastAsia="Times New Roman" w:hAnsi="Times New Roman"/>
          <w:sz w:val="18"/>
          <w:szCs w:val="18"/>
          <w:b w:val="1"/>
          <w:bCs w:val="1"/>
          <w:i w:val="1"/>
          <w:iCs w:val="1"/>
          <w:color w:val="auto"/>
        </w:rPr>
      </w:pPr>
    </w:p>
    <w:p>
      <w:pPr>
        <w:ind w:left="960" w:hanging="480"/>
        <w:spacing w:after="0"/>
        <w:tabs>
          <w:tab w:leader="none" w:pos="960" w:val="left"/>
        </w:tabs>
        <w:numPr>
          <w:ilvl w:val="1"/>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Fiscal Year</w:t>
      </w:r>
    </w:p>
    <w:p>
      <w:pPr>
        <w:spacing w:after="0" w:line="209" w:lineRule="exact"/>
        <w:rPr>
          <w:rFonts w:ascii="Times New Roman" w:cs="Times New Roman" w:eastAsia="Times New Roman" w:hAnsi="Times New Roman"/>
          <w:sz w:val="18"/>
          <w:szCs w:val="18"/>
          <w:b w:val="1"/>
          <w:bCs w:val="1"/>
          <w:i w:val="1"/>
          <w:iCs w:val="1"/>
          <w:color w:val="auto"/>
        </w:rPr>
      </w:pPr>
    </w:p>
    <w:p>
      <w:pPr>
        <w:jc w:val="both"/>
        <w:ind w:left="960"/>
        <w:spacing w:after="0" w:line="229"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Ollie’s follows a 52/53-week fiscal year, which ends on the Saturday nearer to January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of the following calendar year. References to “fiscal year 2026” or “fiscal 2026” refer to the period from February 1, 2026 to January 30, 2027 and references to “fiscal year 2025” or “fiscal 2025” refer to the period from February 2, 2025 to January 31, 2026. Both periods consist of 52 weeks. References to the thirteen weeks ended May 2, 2026 and May 3, 2025 refer to the thirteen weeks from February 1, 2026 to May 2, 2026 and from February 2, 2025 to May 3, 2025, respectively.</w:t>
      </w:r>
    </w:p>
    <w:p>
      <w:pPr>
        <w:spacing w:after="0" w:line="192" w:lineRule="exact"/>
        <w:rPr>
          <w:rFonts w:ascii="Times New Roman" w:cs="Times New Roman" w:eastAsia="Times New Roman" w:hAnsi="Times New Roman"/>
          <w:sz w:val="18"/>
          <w:szCs w:val="18"/>
          <w:b w:val="1"/>
          <w:bCs w:val="1"/>
          <w:i w:val="1"/>
          <w:iCs w:val="1"/>
          <w:color w:val="auto"/>
        </w:rPr>
      </w:pPr>
    </w:p>
    <w:p>
      <w:pPr>
        <w:ind w:left="960" w:hanging="480"/>
        <w:spacing w:after="0"/>
        <w:tabs>
          <w:tab w:leader="none" w:pos="960" w:val="left"/>
        </w:tabs>
        <w:numPr>
          <w:ilvl w:val="1"/>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18" w:lineRule="exact"/>
        <w:rPr>
          <w:rFonts w:ascii="Times New Roman" w:cs="Times New Roman" w:eastAsia="Times New Roman" w:hAnsi="Times New Roman"/>
          <w:sz w:val="18"/>
          <w:szCs w:val="18"/>
          <w:b w:val="1"/>
          <w:bCs w:val="1"/>
          <w:i w:val="1"/>
          <w:iCs w:val="1"/>
          <w:color w:val="auto"/>
        </w:rPr>
      </w:pPr>
    </w:p>
    <w:p>
      <w:pPr>
        <w:jc w:val="both"/>
        <w:ind w:left="960"/>
        <w:spacing w:after="0" w:line="24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for interim financial information and applicable rules and regulations of the Securities and Exchange Commission (“SEC”) regarding interim financial reporting. The condensed consolidated financial statements reflect all normal recurring adjustments which management believes are necessary to present fairly the Company’s results of operations, financial condition, and cash flows for all periods presented. The Company’s business is seasonal in nature and results of operations for the interim periods presented are not necessarily indicative of the results to be expected for the full fiscal year or any other period. All intercompany accounts, transactions, and balances have been eliminated in consolidation.</w:t>
      </w:r>
    </w:p>
    <w:p>
      <w:pPr>
        <w:spacing w:after="0" w:line="189" w:lineRule="exact"/>
        <w:rPr>
          <w:rFonts w:ascii="Times New Roman" w:cs="Times New Roman" w:eastAsia="Times New Roman" w:hAnsi="Times New Roman"/>
          <w:sz w:val="18"/>
          <w:szCs w:val="18"/>
          <w:b w:val="1"/>
          <w:bCs w:val="1"/>
          <w:i w:val="1"/>
          <w:iCs w:val="1"/>
          <w:color w:val="auto"/>
        </w:rPr>
      </w:pPr>
    </w:p>
    <w:p>
      <w:pPr>
        <w:jc w:val="both"/>
        <w:ind w:left="96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balance sheet as of January 31, 2026, presented herein, has been derived from the audited balance sheet included in the Company’s Annual Report on Form 10-K for fiscal 2025 as filed with the SEC on March 19, 2026 and referred to herein as the “Annual Report”, but does not include all disclosures required by GAAP. These condensed consolidated financial statements should be read in conjunction with the consolidated financial statements for fiscal 2025 and footnotes thereto included in the Annual Report.</w:t>
      </w:r>
    </w:p>
    <w:p>
      <w:pPr>
        <w:spacing w:after="0" w:line="184" w:lineRule="exact"/>
        <w:rPr>
          <w:rFonts w:ascii="Times New Roman" w:cs="Times New Roman" w:eastAsia="Times New Roman" w:hAnsi="Times New Roman"/>
          <w:sz w:val="18"/>
          <w:szCs w:val="18"/>
          <w:b w:val="1"/>
          <w:bCs w:val="1"/>
          <w:i w:val="1"/>
          <w:iCs w:val="1"/>
          <w:color w:val="auto"/>
        </w:rPr>
      </w:pPr>
    </w:p>
    <w:p>
      <w:pPr>
        <w:ind w:left="960"/>
        <w:spacing w:after="0" w:line="269"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 purposes of the disclosure requirements for segments of a business enterprise, it has been determined that the Company is comprised of one operating segment.</w:t>
      </w:r>
    </w:p>
    <w:p>
      <w:pPr>
        <w:spacing w:after="0" w:line="164" w:lineRule="exact"/>
        <w:rPr>
          <w:rFonts w:ascii="Times New Roman" w:cs="Times New Roman" w:eastAsia="Times New Roman" w:hAnsi="Times New Roman"/>
          <w:sz w:val="18"/>
          <w:szCs w:val="18"/>
          <w:b w:val="1"/>
          <w:bCs w:val="1"/>
          <w:i w:val="1"/>
          <w:iCs w:val="1"/>
          <w:color w:val="auto"/>
        </w:rPr>
      </w:pPr>
    </w:p>
    <w:p>
      <w:pPr>
        <w:ind w:left="960" w:hanging="480"/>
        <w:spacing w:after="0"/>
        <w:tabs>
          <w:tab w:leader="none" w:pos="960" w:val="left"/>
        </w:tabs>
        <w:numPr>
          <w:ilvl w:val="1"/>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218" w:lineRule="exact"/>
        <w:rPr>
          <w:rFonts w:ascii="Times New Roman" w:cs="Times New Roman" w:eastAsia="Times New Roman" w:hAnsi="Times New Roman"/>
          <w:sz w:val="18"/>
          <w:szCs w:val="18"/>
          <w:b w:val="1"/>
          <w:bCs w:val="1"/>
          <w:i w:val="1"/>
          <w:iCs w:val="1"/>
          <w:color w:val="auto"/>
        </w:rPr>
      </w:pPr>
    </w:p>
    <w:p>
      <w:pPr>
        <w:jc w:val="both"/>
        <w:ind w:left="96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reported amounts of assets and liabilities and the disclosure of contingent assets and liabilities at the date of the condensed consolidated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 2026 and May 3,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53" w:lineRule="exact"/>
        <w:rPr>
          <w:sz w:val="20"/>
          <w:szCs w:val="20"/>
          <w:color w:val="auto"/>
        </w:rPr>
      </w:pPr>
    </w:p>
    <w:p>
      <w:pPr>
        <w:ind w:left="960" w:hanging="480"/>
        <w:spacing w:after="0"/>
        <w:tabs>
          <w:tab w:leader="none" w:pos="9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Disclosures</w:t>
      </w:r>
    </w:p>
    <w:p>
      <w:pPr>
        <w:spacing w:after="0" w:line="218" w:lineRule="exact"/>
        <w:rPr>
          <w:rFonts w:ascii="Times New Roman" w:cs="Times New Roman" w:eastAsia="Times New Roman" w:hAnsi="Times New Roman"/>
          <w:sz w:val="18"/>
          <w:szCs w:val="18"/>
          <w:b w:val="1"/>
          <w:bCs w:val="1"/>
          <w:i w:val="1"/>
          <w:iCs w:val="1"/>
          <w:color w:val="auto"/>
        </w:rPr>
      </w:pPr>
    </w:p>
    <w:p>
      <w:pPr>
        <w:jc w:val="both"/>
        <w:ind w:left="960"/>
        <w:spacing w:after="0" w:line="217" w:lineRule="exact"/>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Fair value is defined as the price which the Company would receive to sell an asset or pay to transfer a liability (an exit price) in an orderly transaction between market participants on the measurement date. In determining fair value, GAAP establishes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hierarchy used in measuring fair value, as follows:</w:t>
      </w:r>
    </w:p>
    <w:p>
      <w:pPr>
        <w:spacing w:after="0" w:line="193" w:lineRule="exact"/>
        <w:rPr>
          <w:rFonts w:ascii="Times New Roman" w:cs="Times New Roman" w:eastAsia="Times New Roman" w:hAnsi="Times New Roman"/>
          <w:sz w:val="18"/>
          <w:szCs w:val="18"/>
          <w:b w:val="1"/>
          <w:bCs w:val="1"/>
          <w:i w:val="1"/>
          <w:iCs w:val="1"/>
          <w:color w:val="auto"/>
        </w:rPr>
      </w:pPr>
    </w:p>
    <w:p>
      <w:pPr>
        <w:ind w:left="1580" w:hanging="310"/>
        <w:spacing w:after="0"/>
        <w:tabs>
          <w:tab w:leader="none" w:pos="1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available for identical assets and liabilities in active markets.</w:t>
      </w:r>
    </w:p>
    <w:p>
      <w:pPr>
        <w:spacing w:after="0" w:line="214" w:lineRule="exact"/>
        <w:rPr>
          <w:rFonts w:ascii="Times New Roman" w:cs="Times New Roman" w:eastAsia="Times New Roman" w:hAnsi="Times New Roman"/>
          <w:sz w:val="18"/>
          <w:szCs w:val="18"/>
          <w:color w:val="auto"/>
        </w:rPr>
      </w:pPr>
    </w:p>
    <w:p>
      <w:pPr>
        <w:ind w:left="1580" w:hanging="310"/>
        <w:spacing w:after="0" w:line="269" w:lineRule="auto"/>
        <w:tabs>
          <w:tab w:leader="none" w:pos="1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observable for the asset or liability, either directly or indirectly, including quoted prices for similar assets and liabilities in active markets or other inputs that are observable or can be corroborated by observable market data.</w:t>
      </w:r>
    </w:p>
    <w:p>
      <w:pPr>
        <w:spacing w:after="0" w:line="168" w:lineRule="exact"/>
        <w:rPr>
          <w:rFonts w:ascii="Times New Roman" w:cs="Times New Roman" w:eastAsia="Times New Roman" w:hAnsi="Times New Roman"/>
          <w:sz w:val="18"/>
          <w:szCs w:val="18"/>
          <w:color w:val="auto"/>
        </w:rPr>
      </w:pPr>
    </w:p>
    <w:p>
      <w:pPr>
        <w:ind w:left="1580" w:hanging="310"/>
        <w:spacing w:after="0" w:line="269" w:lineRule="auto"/>
        <w:tabs>
          <w:tab w:leader="none" w:pos="1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developed using the Company’s estimates and assumptions, which reflect those that market participants would use.</w:t>
      </w:r>
    </w:p>
    <w:p>
      <w:pPr>
        <w:spacing w:after="0" w:line="168" w:lineRule="exact"/>
        <w:rPr>
          <w:sz w:val="20"/>
          <w:szCs w:val="20"/>
          <w:color w:val="auto"/>
        </w:rPr>
      </w:pPr>
    </w:p>
    <w:p>
      <w:pPr>
        <w:jc w:val="both"/>
        <w:ind w:left="960"/>
        <w:spacing w:after="0" w:line="248"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investment securities, accounts receivable, accounts payable, and the Company’s credit facilities. The carrying amounts of cash and cash equivalents, accounts receivable, and accounts payable are representative of their respective fair value because of their short-term nature. Under the fair value hierarchy, the fair market values of cash equivalents and the investments in treasury bonds are Level 1 while the investments in U.S. agency bonds, asset-backed securities, municipal, and corporate bonds are Level 2 and generally have counterparties with high quality, investment grade credit ratings. Since quoted prices in active markets for identical assets are not available, these prices are determined by a third-party pricing service using observable market information such as quotes from less active markets and quoted prices of similar securities.</w:t>
      </w:r>
    </w:p>
    <w:p>
      <w:pPr>
        <w:spacing w:after="0" w:line="189" w:lineRule="exact"/>
        <w:rPr>
          <w:sz w:val="20"/>
          <w:szCs w:val="20"/>
          <w:color w:val="auto"/>
        </w:rPr>
      </w:pPr>
    </w:p>
    <w:p>
      <w:pPr>
        <w:jc w:val="both"/>
        <w:ind w:left="960"/>
        <w:spacing w:after="0" w:line="256" w:lineRule="auto"/>
        <w:rPr>
          <w:sz w:val="20"/>
          <w:szCs w:val="20"/>
          <w:color w:val="auto"/>
        </w:rPr>
      </w:pPr>
      <w:r>
        <w:rPr>
          <w:rFonts w:ascii="Times New Roman" w:cs="Times New Roman" w:eastAsia="Times New Roman" w:hAnsi="Times New Roman"/>
          <w:sz w:val="18"/>
          <w:szCs w:val="18"/>
          <w:color w:val="auto"/>
        </w:rPr>
        <w:t>As of May 2, 2026, January 31, 2026, and May 3, 2025, the Company’s investment securities are classified as held-to-maturity since the Company has both the intent and ability to hold the investments to maturity. Such securities are carried at amortized cost plus accrued interest and consist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 May 2, 2026</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18"/>
              <w:spacing w:after="0" w:line="190"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80"/>
              <w:spacing w:after="0" w:line="190"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9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Amortized</w:t>
            </w:r>
          </w:p>
        </w:tc>
        <w:tc>
          <w:tcPr>
            <w:tcW w:w="100" w:type="dxa"/>
            <w:vAlign w:val="bottom"/>
          </w:tcPr>
          <w:p>
            <w:pPr>
              <w:spacing w:after="0"/>
              <w:rPr>
                <w:sz w:val="18"/>
                <w:szCs w:val="18"/>
                <w:color w:val="auto"/>
              </w:rPr>
            </w:pPr>
          </w:p>
        </w:tc>
        <w:tc>
          <w:tcPr>
            <w:tcW w:w="1040" w:type="dxa"/>
            <w:vAlign w:val="bottom"/>
            <w:gridSpan w:val="2"/>
          </w:tcPr>
          <w:p>
            <w:pPr>
              <w:jc w:val="center"/>
              <w:ind w:right="138"/>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Fair Market</w:t>
            </w: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5"/>
              </w:rPr>
              <w:t>Losses</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60" w:type="dxa"/>
            <w:vAlign w:val="bottom"/>
          </w:tcPr>
          <w:p>
            <w:pPr>
              <w:spacing w:after="0"/>
              <w:rPr>
                <w:sz w:val="19"/>
                <w:szCs w:val="19"/>
                <w:color w:val="auto"/>
              </w:rPr>
            </w:pPr>
          </w:p>
        </w:tc>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Short-term:</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(in</w:t>
            </w:r>
          </w:p>
        </w:tc>
        <w:tc>
          <w:tcPr>
            <w:tcW w:w="1240" w:type="dxa"/>
            <w:vAlign w:val="bottom"/>
            <w:gridSpan w:val="4"/>
          </w:tcPr>
          <w:p>
            <w:pPr>
              <w:jc w:val="right"/>
              <w:ind w:right="592"/>
              <w:spacing w:after="0"/>
              <w:rPr>
                <w:sz w:val="20"/>
                <w:szCs w:val="20"/>
                <w:color w:val="auto"/>
              </w:rPr>
            </w:pPr>
            <w:r>
              <w:rPr>
                <w:rFonts w:ascii="Times New Roman" w:cs="Times New Roman" w:eastAsia="Times New Roman" w:hAnsi="Times New Roman"/>
                <w:sz w:val="16"/>
                <w:szCs w:val="16"/>
                <w:color w:val="auto"/>
                <w:w w:val="77"/>
              </w:rPr>
              <w:t>thousands)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960" w:type="dxa"/>
            <w:vAlign w:val="bottom"/>
          </w:tcPr>
          <w:p>
            <w:pPr>
              <w:spacing w:after="0"/>
              <w:rPr>
                <w:sz w:val="16"/>
                <w:szCs w:val="16"/>
                <w:color w:val="auto"/>
              </w:rPr>
            </w:pPr>
          </w:p>
        </w:tc>
        <w:tc>
          <w:tcPr>
            <w:tcW w:w="3240" w:type="dxa"/>
            <w:vAlign w:val="bottom"/>
            <w:vMerge w:val="continue"/>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96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Treasury Bonds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36,460</w:t>
            </w:r>
          </w:p>
        </w:tc>
        <w:tc>
          <w:tcPr>
            <w:tcW w:w="0" w:type="dxa"/>
            <w:vAlign w:val="bottom"/>
          </w:tcPr>
          <w:p>
            <w:pPr>
              <w:spacing w:after="0"/>
              <w:rPr>
                <w:sz w:val="1"/>
                <w:szCs w:val="1"/>
                <w:color w:val="auto"/>
              </w:rPr>
            </w:pPr>
          </w:p>
        </w:tc>
      </w:tr>
      <w:tr>
        <w:trPr>
          <w:trHeight w:val="211"/>
        </w:trPr>
        <w:tc>
          <w:tcPr>
            <w:tcW w:w="96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13,717</w:t>
            </w:r>
          </w:p>
        </w:tc>
        <w:tc>
          <w:tcPr>
            <w:tcW w:w="100" w:type="dxa"/>
            <w:vAlign w:val="bottom"/>
          </w:tcPr>
          <w:p>
            <w:pPr>
              <w:spacing w:after="0"/>
              <w:rPr>
                <w:sz w:val="18"/>
                <w:szCs w:val="18"/>
                <w:color w:val="auto"/>
              </w:rPr>
            </w:pPr>
          </w:p>
        </w:tc>
        <w:tc>
          <w:tcPr>
            <w:tcW w:w="10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13,813</w:t>
            </w:r>
          </w:p>
        </w:tc>
        <w:tc>
          <w:tcPr>
            <w:tcW w:w="0" w:type="dxa"/>
            <w:vAlign w:val="bottom"/>
          </w:tcPr>
          <w:p>
            <w:pPr>
              <w:spacing w:after="0"/>
              <w:rPr>
                <w:sz w:val="1"/>
                <w:szCs w:val="1"/>
                <w:color w:val="auto"/>
              </w:rPr>
            </w:pPr>
          </w:p>
        </w:tc>
      </w:tr>
      <w:tr>
        <w:trPr>
          <w:trHeight w:val="211"/>
        </w:trPr>
        <w:tc>
          <w:tcPr>
            <w:tcW w:w="96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9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51,886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51,991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w:t>
            </w: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96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96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(2,254)</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152,062</w:t>
            </w:r>
          </w:p>
        </w:tc>
        <w:tc>
          <w:tcPr>
            <w:tcW w:w="0" w:type="dxa"/>
            <w:vAlign w:val="bottom"/>
          </w:tcPr>
          <w:p>
            <w:pPr>
              <w:spacing w:after="0"/>
              <w:rPr>
                <w:sz w:val="1"/>
                <w:szCs w:val="1"/>
                <w:color w:val="auto"/>
              </w:rPr>
            </w:pPr>
          </w:p>
        </w:tc>
      </w:tr>
      <w:tr>
        <w:trPr>
          <w:trHeight w:val="211"/>
        </w:trPr>
        <w:tc>
          <w:tcPr>
            <w:tcW w:w="96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Bonds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48,223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47,623</w:t>
            </w:r>
          </w:p>
        </w:tc>
        <w:tc>
          <w:tcPr>
            <w:tcW w:w="0" w:type="dxa"/>
            <w:vAlign w:val="bottom"/>
          </w:tcPr>
          <w:p>
            <w:pPr>
              <w:spacing w:after="0"/>
              <w:rPr>
                <w:sz w:val="1"/>
                <w:szCs w:val="1"/>
                <w:color w:val="auto"/>
              </w:rPr>
            </w:pPr>
          </w:p>
        </w:tc>
      </w:tr>
      <w:tr>
        <w:trPr>
          <w:trHeight w:val="211"/>
        </w:trPr>
        <w:tc>
          <w:tcPr>
            <w:tcW w:w="96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53,106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53,036</w:t>
            </w:r>
          </w:p>
        </w:tc>
        <w:tc>
          <w:tcPr>
            <w:tcW w:w="0" w:type="dxa"/>
            <w:vAlign w:val="bottom"/>
          </w:tcPr>
          <w:p>
            <w:pPr>
              <w:spacing w:after="0"/>
              <w:rPr>
                <w:sz w:val="1"/>
                <w:szCs w:val="1"/>
                <w:color w:val="auto"/>
              </w:rPr>
            </w:pPr>
          </w:p>
        </w:tc>
      </w:tr>
      <w:tr>
        <w:trPr>
          <w:trHeight w:val="217"/>
        </w:trPr>
        <w:tc>
          <w:tcPr>
            <w:tcW w:w="96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Agency Bonds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20,608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20,378</w:t>
            </w:r>
          </w:p>
        </w:tc>
        <w:tc>
          <w:tcPr>
            <w:tcW w:w="0" w:type="dxa"/>
            <w:vAlign w:val="bottom"/>
          </w:tcPr>
          <w:p>
            <w:pPr>
              <w:spacing w:after="0"/>
              <w:rPr>
                <w:sz w:val="1"/>
                <w:szCs w:val="1"/>
                <w:color w:val="auto"/>
              </w:rPr>
            </w:pPr>
          </w:p>
        </w:tc>
      </w:tr>
      <w:tr>
        <w:trPr>
          <w:trHeight w:val="251"/>
        </w:trPr>
        <w:tc>
          <w:tcPr>
            <w:tcW w:w="96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276,038</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273,099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48"/>
        </w:trPr>
        <w:tc>
          <w:tcPr>
            <w:tcW w:w="9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220" w:type="dxa"/>
            <w:vAlign w:val="bottom"/>
          </w:tcPr>
          <w:p>
            <w:pPr>
              <w:jc w:val="right"/>
              <w:ind w:right="67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96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 2026 and May 3,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55" w:lineRule="exact"/>
        <w:rPr>
          <w:sz w:val="20"/>
          <w:szCs w:val="20"/>
          <w:color w:val="auto"/>
        </w:rPr>
      </w:pPr>
    </w:p>
    <w:tbl>
      <w:tblPr>
        <w:tblLayout w:type="fixed"/>
        <w:tblInd w:w="96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As of January 31, 2026</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18"/>
              <w:spacing w:after="0" w:line="190"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80"/>
              <w:spacing w:after="0" w:line="190"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Amortized</w:t>
            </w:r>
          </w:p>
        </w:tc>
        <w:tc>
          <w:tcPr>
            <w:tcW w:w="100" w:type="dxa"/>
            <w:vAlign w:val="bottom"/>
          </w:tcPr>
          <w:p>
            <w:pPr>
              <w:spacing w:after="0"/>
              <w:rPr>
                <w:sz w:val="18"/>
                <w:szCs w:val="18"/>
                <w:color w:val="auto"/>
              </w:rPr>
            </w:pPr>
          </w:p>
        </w:tc>
        <w:tc>
          <w:tcPr>
            <w:tcW w:w="1040" w:type="dxa"/>
            <w:vAlign w:val="bottom"/>
            <w:gridSpan w:val="2"/>
          </w:tcPr>
          <w:p>
            <w:pPr>
              <w:jc w:val="center"/>
              <w:ind w:right="138"/>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Fair Market</w:t>
            </w:r>
          </w:p>
        </w:tc>
        <w:tc>
          <w:tcPr>
            <w:tcW w:w="0" w:type="dxa"/>
            <w:vAlign w:val="bottom"/>
          </w:tcPr>
          <w:p>
            <w:pPr>
              <w:spacing w:after="0"/>
              <w:rPr>
                <w:sz w:val="1"/>
                <w:szCs w:val="1"/>
                <w:color w:val="auto"/>
              </w:rPr>
            </w:pPr>
          </w:p>
        </w:tc>
      </w:tr>
      <w:tr>
        <w:trPr>
          <w:trHeight w:val="238"/>
        </w:trPr>
        <w:tc>
          <w:tcPr>
            <w:tcW w:w="5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5"/>
              </w:rPr>
              <w:t>Losses</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Short-term:</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(in</w:t>
            </w:r>
          </w:p>
        </w:tc>
        <w:tc>
          <w:tcPr>
            <w:tcW w:w="1240" w:type="dxa"/>
            <w:vAlign w:val="bottom"/>
            <w:gridSpan w:val="4"/>
          </w:tcPr>
          <w:p>
            <w:pPr>
              <w:jc w:val="right"/>
              <w:ind w:right="592"/>
              <w:spacing w:after="0"/>
              <w:rPr>
                <w:sz w:val="20"/>
                <w:szCs w:val="20"/>
                <w:color w:val="auto"/>
              </w:rPr>
            </w:pPr>
            <w:r>
              <w:rPr>
                <w:rFonts w:ascii="Times New Roman" w:cs="Times New Roman" w:eastAsia="Times New Roman" w:hAnsi="Times New Roman"/>
                <w:sz w:val="16"/>
                <w:szCs w:val="16"/>
                <w:color w:val="auto"/>
                <w:w w:val="77"/>
              </w:rPr>
              <w:t>thousands)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Treasury Bonds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25,830</w:t>
            </w:r>
          </w:p>
        </w:tc>
        <w:tc>
          <w:tcPr>
            <w:tcW w:w="0" w:type="dxa"/>
            <w:vAlign w:val="bottom"/>
          </w:tcPr>
          <w:p>
            <w:pPr>
              <w:spacing w:after="0"/>
              <w:rPr>
                <w:sz w:val="1"/>
                <w:szCs w:val="1"/>
                <w:color w:val="auto"/>
              </w:rPr>
            </w:pPr>
          </w:p>
        </w:tc>
      </w:tr>
      <w:tr>
        <w:trPr>
          <w:trHeight w:val="217"/>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10,823</w:t>
            </w:r>
          </w:p>
        </w:tc>
        <w:tc>
          <w:tcPr>
            <w:tcW w:w="0" w:type="dxa"/>
            <w:vAlign w:val="bottom"/>
          </w:tcPr>
          <w:p>
            <w:pPr>
              <w:spacing w:after="0"/>
              <w:rPr>
                <w:sz w:val="1"/>
                <w:szCs w:val="1"/>
                <w:color w:val="auto"/>
              </w:rPr>
            </w:pPr>
          </w:p>
        </w:tc>
      </w:tr>
      <w:tr>
        <w:trPr>
          <w:trHeight w:val="251"/>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36,628</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Bonds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(554)</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47,893</w:t>
            </w:r>
          </w:p>
        </w:tc>
        <w:tc>
          <w:tcPr>
            <w:tcW w:w="0" w:type="dxa"/>
            <w:vAlign w:val="bottom"/>
          </w:tcPr>
          <w:p>
            <w:pPr>
              <w:spacing w:after="0"/>
              <w:rPr>
                <w:sz w:val="1"/>
                <w:szCs w:val="1"/>
                <w:color w:val="auto"/>
              </w:rPr>
            </w:pPr>
          </w:p>
        </w:tc>
      </w:tr>
      <w:tr>
        <w:trPr>
          <w:trHeight w:val="211"/>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Agency Bonds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15,007</w:t>
            </w:r>
          </w:p>
        </w:tc>
        <w:tc>
          <w:tcPr>
            <w:tcW w:w="0" w:type="dxa"/>
            <w:vAlign w:val="bottom"/>
          </w:tcPr>
          <w:p>
            <w:pPr>
              <w:spacing w:after="0"/>
              <w:rPr>
                <w:sz w:val="1"/>
                <w:szCs w:val="1"/>
                <w:color w:val="auto"/>
              </w:rPr>
            </w:pPr>
          </w:p>
        </w:tc>
      </w:tr>
      <w:tr>
        <w:trPr>
          <w:trHeight w:val="217"/>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(939)</w:t>
            </w: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204,946</w:t>
            </w:r>
          </w:p>
        </w:tc>
        <w:tc>
          <w:tcPr>
            <w:tcW w:w="0" w:type="dxa"/>
            <w:vAlign w:val="bottom"/>
          </w:tcPr>
          <w:p>
            <w:pPr>
              <w:spacing w:after="0"/>
              <w:rPr>
                <w:sz w:val="1"/>
                <w:szCs w:val="1"/>
                <w:color w:val="auto"/>
              </w:rPr>
            </w:pPr>
          </w:p>
        </w:tc>
      </w:tr>
      <w:tr>
        <w:trPr>
          <w:trHeight w:val="251"/>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266,455</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267,846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5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As of May 3, 2025</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18"/>
              <w:spacing w:after="0" w:line="190"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80"/>
              <w:spacing w:after="0" w:line="190"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Amortized</w:t>
            </w:r>
          </w:p>
        </w:tc>
        <w:tc>
          <w:tcPr>
            <w:tcW w:w="100" w:type="dxa"/>
            <w:vAlign w:val="bottom"/>
          </w:tcPr>
          <w:p>
            <w:pPr>
              <w:spacing w:after="0"/>
              <w:rPr>
                <w:sz w:val="18"/>
                <w:szCs w:val="18"/>
                <w:color w:val="auto"/>
              </w:rPr>
            </w:pPr>
          </w:p>
        </w:tc>
        <w:tc>
          <w:tcPr>
            <w:tcW w:w="1040" w:type="dxa"/>
            <w:vAlign w:val="bottom"/>
            <w:gridSpan w:val="2"/>
          </w:tcPr>
          <w:p>
            <w:pPr>
              <w:jc w:val="center"/>
              <w:ind w:right="138"/>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Fair Market</w:t>
            </w:r>
          </w:p>
        </w:tc>
        <w:tc>
          <w:tcPr>
            <w:tcW w:w="0" w:type="dxa"/>
            <w:vAlign w:val="bottom"/>
          </w:tcPr>
          <w:p>
            <w:pPr>
              <w:spacing w:after="0"/>
              <w:rPr>
                <w:sz w:val="1"/>
                <w:szCs w:val="1"/>
                <w:color w:val="auto"/>
              </w:rPr>
            </w:pPr>
          </w:p>
        </w:tc>
      </w:tr>
      <w:tr>
        <w:trPr>
          <w:trHeight w:val="238"/>
        </w:trPr>
        <w:tc>
          <w:tcPr>
            <w:tcW w:w="5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5"/>
              </w:rPr>
              <w:t>Losses</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Short-term:</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(in</w:t>
            </w:r>
          </w:p>
        </w:tc>
        <w:tc>
          <w:tcPr>
            <w:tcW w:w="1240" w:type="dxa"/>
            <w:vAlign w:val="bottom"/>
            <w:gridSpan w:val="4"/>
          </w:tcPr>
          <w:p>
            <w:pPr>
              <w:jc w:val="right"/>
              <w:ind w:right="592"/>
              <w:spacing w:after="0"/>
              <w:rPr>
                <w:sz w:val="20"/>
                <w:szCs w:val="20"/>
                <w:color w:val="auto"/>
              </w:rPr>
            </w:pPr>
            <w:r>
              <w:rPr>
                <w:rFonts w:ascii="Times New Roman" w:cs="Times New Roman" w:eastAsia="Times New Roman" w:hAnsi="Times New Roman"/>
                <w:sz w:val="16"/>
                <w:szCs w:val="16"/>
                <w:color w:val="auto"/>
                <w:w w:val="77"/>
              </w:rPr>
              <w:t>thousands)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Treasury Bonds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119,186</w:t>
            </w:r>
          </w:p>
        </w:tc>
        <w:tc>
          <w:tcPr>
            <w:tcW w:w="0" w:type="dxa"/>
            <w:vAlign w:val="bottom"/>
          </w:tcPr>
          <w:p>
            <w:pPr>
              <w:spacing w:after="0"/>
              <w:rPr>
                <w:sz w:val="1"/>
                <w:szCs w:val="1"/>
                <w:color w:val="auto"/>
              </w:rPr>
            </w:pPr>
          </w:p>
        </w:tc>
      </w:tr>
      <w:tr>
        <w:trPr>
          <w:trHeight w:val="211"/>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Municipal Bonds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19,911</w:t>
            </w:r>
          </w:p>
        </w:tc>
        <w:tc>
          <w:tcPr>
            <w:tcW w:w="0" w:type="dxa"/>
            <w:vAlign w:val="bottom"/>
          </w:tcPr>
          <w:p>
            <w:pPr>
              <w:spacing w:after="0"/>
              <w:rPr>
                <w:sz w:val="1"/>
                <w:szCs w:val="1"/>
                <w:color w:val="auto"/>
              </w:rPr>
            </w:pPr>
          </w:p>
        </w:tc>
      </w:tr>
      <w:tr>
        <w:trPr>
          <w:trHeight w:val="211"/>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31,001</w:t>
            </w:r>
          </w:p>
        </w:tc>
        <w:tc>
          <w:tcPr>
            <w:tcW w:w="0" w:type="dxa"/>
            <w:vAlign w:val="bottom"/>
          </w:tcPr>
          <w:p>
            <w:pPr>
              <w:spacing w:after="0"/>
              <w:rPr>
                <w:sz w:val="1"/>
                <w:szCs w:val="1"/>
                <w:color w:val="auto"/>
              </w:rPr>
            </w:pPr>
          </w:p>
        </w:tc>
      </w:tr>
      <w:tr>
        <w:trPr>
          <w:trHeight w:val="26"/>
        </w:trPr>
        <w:tc>
          <w:tcPr>
            <w:tcW w:w="54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170,490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170,098</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Long-term:</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45,003</w:t>
            </w:r>
          </w:p>
        </w:tc>
        <w:tc>
          <w:tcPr>
            <w:tcW w:w="0" w:type="dxa"/>
            <w:vAlign w:val="bottom"/>
          </w:tcPr>
          <w:p>
            <w:pPr>
              <w:spacing w:after="0"/>
              <w:rPr>
                <w:sz w:val="1"/>
                <w:szCs w:val="1"/>
                <w:color w:val="auto"/>
              </w:rPr>
            </w:pPr>
          </w:p>
        </w:tc>
      </w:tr>
      <w:tr>
        <w:trPr>
          <w:trHeight w:val="251"/>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45,355</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left="960" w:right="20"/>
        <w:spacing w:after="0" w:line="269" w:lineRule="auto"/>
        <w:rPr>
          <w:sz w:val="20"/>
          <w:szCs w:val="20"/>
          <w:color w:val="auto"/>
        </w:rPr>
      </w:pPr>
      <w:r>
        <w:rPr>
          <w:rFonts w:ascii="Times New Roman" w:cs="Times New Roman" w:eastAsia="Times New Roman" w:hAnsi="Times New Roman"/>
          <w:sz w:val="18"/>
          <w:szCs w:val="18"/>
          <w:color w:val="auto"/>
        </w:rPr>
        <w:t>Short-term investment securities as of May 2, 2026, January 31, 2026, and May 3, 2025 all mature in one year or less. Long-term investment securities as of May 2, 2026 all mature after one year but in less than three years.</w:t>
      </w:r>
    </w:p>
    <w:p>
      <w:pPr>
        <w:spacing w:after="0" w:line="164" w:lineRule="exact"/>
        <w:rPr>
          <w:sz w:val="20"/>
          <w:szCs w:val="20"/>
          <w:color w:val="auto"/>
        </w:rPr>
      </w:pPr>
    </w:p>
    <w:p>
      <w:pPr>
        <w:ind w:left="960" w:hanging="480"/>
        <w:spacing w:after="0"/>
        <w:tabs>
          <w:tab w:leader="none" w:pos="9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18" w:lineRule="exact"/>
        <w:rPr>
          <w:rFonts w:ascii="Times New Roman" w:cs="Times New Roman" w:eastAsia="Times New Roman" w:hAnsi="Times New Roman"/>
          <w:sz w:val="18"/>
          <w:szCs w:val="18"/>
          <w:b w:val="1"/>
          <w:bCs w:val="1"/>
          <w:i w:val="1"/>
          <w:iCs w:val="1"/>
          <w:color w:val="auto"/>
        </w:rPr>
      </w:pPr>
    </w:p>
    <w:p>
      <w:pPr>
        <w:jc w:val="both"/>
        <w:ind w:left="960"/>
        <w:spacing w:after="0" w:line="249"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which requires disaggregated disclosure of certain costs and expenses, including purchases of inventory, employee compensation, depreciation, amortization and depletion, within relevant income statement captions. This guidance is effective for annual reporting periods beginning after December 15, 2026, and interim reporting periods within annual reporting periods beginning after December 15, 2027. Early adoption is permitted. The Company is currently evaluating the impact of this ASU on its consolidated financial statements.</w:t>
      </w:r>
    </w:p>
    <w:p>
      <w:pPr>
        <w:spacing w:after="0" w:line="186" w:lineRule="exact"/>
        <w:rPr>
          <w:rFonts w:ascii="Times New Roman" w:cs="Times New Roman" w:eastAsia="Times New Roman" w:hAnsi="Times New Roman"/>
          <w:sz w:val="18"/>
          <w:szCs w:val="18"/>
          <w:b w:val="1"/>
          <w:bCs w:val="1"/>
          <w:i w:val="1"/>
          <w:iCs w:val="1"/>
          <w:color w:val="auto"/>
        </w:rPr>
      </w:pPr>
    </w:p>
    <w:p>
      <w:pPr>
        <w:jc w:val="both"/>
        <w:ind w:left="960"/>
        <w:spacing w:after="0" w:line="249"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This ASU modernizes the capitalization criteria for internal-use software by eliminating references to project stages and clarifying the threshold applied to begin capitalizing costs. This guidance is effective for fiscal years beginning after December 15, 2027 and interim reporting periods within those annual reporting periods. Early adoption is permitted as of the beginning of an annual reporting period. The Company is currently evaluating the impact of ASU 2025-06 on its consolidated financial statements.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 2026 and May 3,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57" w:lineRule="exact"/>
        <w:rPr>
          <w:sz w:val="20"/>
          <w:szCs w:val="20"/>
          <w:color w:val="auto"/>
        </w:rPr>
      </w:pPr>
    </w:p>
    <w:p>
      <w:pPr>
        <w:jc w:val="both"/>
        <w:ind w:left="960"/>
        <w:spacing w:after="0" w:line="294" w:lineRule="auto"/>
        <w:rPr>
          <w:sz w:val="20"/>
          <w:szCs w:val="20"/>
          <w:color w:val="auto"/>
        </w:rPr>
      </w:pPr>
      <w:r>
        <w:rPr>
          <w:rFonts w:ascii="Times New Roman" w:cs="Times New Roman" w:eastAsia="Times New Roman" w:hAnsi="Times New Roman"/>
          <w:sz w:val="16"/>
          <w:szCs w:val="16"/>
          <w:color w:val="auto"/>
        </w:rPr>
        <w:t>In December 2025, the FASB issued ASU 2025-11 “Interim Reporting (Topic 270): Narrow-Scope Improvements.” This ASU amends Topic 270 to clarify interim reporting requirements and enhance consistency. It is not intended to significantly change interim reporting or expand or reduce interim disclosure requirements. This ASU is effective for interim reporting periods within annual reporting periods beginning after December 15, 2027. Early adoption is permitted. The Company is currently evaluating the impact of this ASU on its consolidated financial statements.</w:t>
      </w:r>
    </w:p>
    <w:p>
      <w:pPr>
        <w:spacing w:after="0" w:line="152" w:lineRule="exact"/>
        <w:rPr>
          <w:sz w:val="20"/>
          <w:szCs w:val="20"/>
          <w:color w:val="auto"/>
        </w:rPr>
      </w:pPr>
    </w:p>
    <w:p>
      <w:pPr>
        <w:jc w:val="both"/>
        <w:ind w:left="960"/>
        <w:spacing w:after="0" w:line="252"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Improvements” to correct, clarify, and otherwise improve U.S. GAAP. This ASU includes 33 improvements that span a wide range of topics and is effective for annual reporting periods beginning after December 15, 2026 and interim reporting periods within those annual reporting periods. Early adoption is permitted. The Company is currently evaluating the impact of this ASU on its consolidated financial statements.</w:t>
      </w:r>
    </w:p>
    <w:p>
      <w:pPr>
        <w:spacing w:after="0" w:line="183" w:lineRule="exact"/>
        <w:rPr>
          <w:sz w:val="20"/>
          <w:szCs w:val="20"/>
          <w:color w:val="auto"/>
        </w:rPr>
      </w:pPr>
    </w:p>
    <w:p>
      <w:pPr>
        <w:ind w:left="480" w:hanging="475"/>
        <w:spacing w:after="0"/>
        <w:tabs>
          <w:tab w:leader="none" w:pos="4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w:t>
      </w:r>
    </w:p>
    <w:p>
      <w:pPr>
        <w:spacing w:after="0" w:line="214"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Revenue Recognition</w:t>
      </w:r>
    </w:p>
    <w:p>
      <w:pPr>
        <w:spacing w:after="0" w:line="216" w:lineRule="exact"/>
        <w:rPr>
          <w:rFonts w:ascii="Times New Roman" w:cs="Times New Roman" w:eastAsia="Times New Roman" w:hAnsi="Times New Roman"/>
          <w:sz w:val="18"/>
          <w:szCs w:val="18"/>
          <w:b w:val="1"/>
          <w:bCs w:val="1"/>
          <w:color w:val="auto"/>
        </w:rPr>
      </w:pPr>
    </w:p>
    <w:p>
      <w:pPr>
        <w:jc w:val="both"/>
        <w:ind w:left="4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Ollie’s recognizes retail sales in its stores when merchandise is sold and the customer takes possession of merchandise. Also included in net sales is revenue allocated to certain redeemed discounts earned via the Ollie’s Army loyalty program, revenue from Ollie’s co-branded credit card, and gift card breakage. Net sales are presented net of returns and sales tax. The Company provides an allowance for estimated retail merchandise returns based on prior experience.</w:t>
      </w:r>
    </w:p>
    <w:p>
      <w:pPr>
        <w:spacing w:after="0" w:line="182"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Ollie’s Army Revenue</w:t>
      </w:r>
    </w:p>
    <w:p>
      <w:pPr>
        <w:spacing w:after="0" w:line="216" w:lineRule="exact"/>
        <w:rPr>
          <w:rFonts w:ascii="Times New Roman" w:cs="Times New Roman" w:eastAsia="Times New Roman" w:hAnsi="Times New Roman"/>
          <w:sz w:val="18"/>
          <w:szCs w:val="18"/>
          <w:b w:val="1"/>
          <w:bCs w:val="1"/>
          <w:color w:val="auto"/>
        </w:rPr>
      </w:pPr>
    </w:p>
    <w:p>
      <w:pPr>
        <w:jc w:val="both"/>
        <w:ind w:left="480"/>
        <w:spacing w:after="0" w:line="24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operates a customer loyalty program called Ollie’s Army. Revenue is deferred for the Ollie’s Army loyalty program where members accumulate points that can be redeemed for discounts on future purchases. The Company has determined it has an additional performance obligation to Ollie’s Army members at the time of the initial transaction. The Company allocates the transaction price to the initial transaction and the discount awards based upon its relative standalone selling price, which considers historical redemption patterns for the award. Revenue is recognized as those discount awards are redeemed. Discount awards issued upon the achievement of specified point levels are subject to expiration. Unless temporarily extended, the maximum redemption period is 45 days. At the end of each fiscal period, unredeemed discount awards and accumulated points to earn a future discount award are reflected as a liability. Discount awards are combined in one homogeneous pool and are not separately identifiable. Therefore, the revenue recognized consists of discount awards redeemed that were included in the deferred revenue balance at the beginning of the period as well as discount awards issued during the current period. The following table is a reconciliation of the liability related to this program:</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412"/>
              <w:spacing w:after="0" w:line="190" w:lineRule="exact"/>
              <w:rPr>
                <w:sz w:val="20"/>
                <w:szCs w:val="20"/>
                <w:color w:val="auto"/>
              </w:rPr>
            </w:pPr>
            <w:r>
              <w:rPr>
                <w:rFonts w:ascii="Times New Roman" w:cs="Times New Roman" w:eastAsia="Times New Roman" w:hAnsi="Times New Roman"/>
                <w:sz w:val="18"/>
                <w:szCs w:val="18"/>
                <w:b w:val="1"/>
                <w:bCs w:val="1"/>
                <w:color w:val="auto"/>
              </w:rPr>
              <w:t>May 2,</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92"/>
              <w:spacing w:after="0" w:line="190" w:lineRule="exact"/>
              <w:rPr>
                <w:sz w:val="20"/>
                <w:szCs w:val="20"/>
                <w:color w:val="auto"/>
              </w:rPr>
            </w:pPr>
            <w:r>
              <w:rPr>
                <w:rFonts w:ascii="Times New Roman" w:cs="Times New Roman" w:eastAsia="Times New Roman" w:hAnsi="Times New Roman"/>
                <w:sz w:val="18"/>
                <w:szCs w:val="18"/>
                <w:b w:val="1"/>
                <w:bCs w:val="1"/>
                <w:color w:val="auto"/>
              </w:rPr>
              <w:t>May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(in</w:t>
            </w:r>
          </w:p>
        </w:tc>
        <w:tc>
          <w:tcPr>
            <w:tcW w:w="1280" w:type="dxa"/>
            <w:vAlign w:val="bottom"/>
            <w:gridSpan w:val="3"/>
          </w:tcPr>
          <w:p>
            <w:pPr>
              <w:jc w:val="right"/>
              <w:ind w:right="592"/>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5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13,100</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13,239</w:t>
            </w:r>
          </w:p>
        </w:tc>
        <w:tc>
          <w:tcPr>
            <w:tcW w:w="0" w:type="dxa"/>
            <w:vAlign w:val="bottom"/>
          </w:tcPr>
          <w:p>
            <w:pPr>
              <w:spacing w:after="0"/>
              <w:rPr>
                <w:sz w:val="1"/>
                <w:szCs w:val="1"/>
                <w:color w:val="auto"/>
              </w:rPr>
            </w:pPr>
          </w:p>
        </w:tc>
      </w:tr>
      <w:tr>
        <w:trPr>
          <w:trHeight w:val="211"/>
        </w:trPr>
        <w:tc>
          <w:tcPr>
            <w:tcW w:w="48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 deferred</w:t>
            </w: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8,046</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 recognized</w:t>
            </w:r>
          </w:p>
        </w:tc>
        <w:tc>
          <w:tcPr>
            <w:tcW w:w="4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(8,629)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(4,551)</w:t>
            </w:r>
          </w:p>
        </w:tc>
        <w:tc>
          <w:tcPr>
            <w:tcW w:w="0" w:type="dxa"/>
            <w:vAlign w:val="bottom"/>
          </w:tcPr>
          <w:p>
            <w:pPr>
              <w:spacing w:after="0"/>
              <w:rPr>
                <w:sz w:val="1"/>
                <w:szCs w:val="1"/>
                <w:color w:val="auto"/>
              </w:rPr>
            </w:pPr>
          </w:p>
        </w:tc>
      </w:tr>
      <w:tr>
        <w:trPr>
          <w:trHeight w:val="26"/>
        </w:trPr>
        <w:tc>
          <w:tcPr>
            <w:tcW w:w="480" w:type="dxa"/>
            <w:vAlign w:val="bottom"/>
            <w:vMerge w:val="restart"/>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8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5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12,517</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960" w:type="dxa"/>
            <w:vAlign w:val="bottom"/>
            <w:vMerge w:val="restart"/>
          </w:tcPr>
          <w:p>
            <w:pPr>
              <w:jc w:val="right"/>
              <w:ind w:right="3038"/>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48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 2026 and May 3,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Gift Card Breakage Revenue</w:t>
      </w:r>
    </w:p>
    <w:p>
      <w:pPr>
        <w:spacing w:after="0" w:line="217" w:lineRule="exact"/>
        <w:rPr>
          <w:sz w:val="20"/>
          <w:szCs w:val="20"/>
          <w:color w:val="auto"/>
        </w:rPr>
      </w:pPr>
    </w:p>
    <w:p>
      <w:pPr>
        <w:jc w:val="both"/>
        <w:ind w:left="480"/>
        <w:spacing w:after="0" w:line="252" w:lineRule="auto"/>
        <w:rPr>
          <w:sz w:val="20"/>
          <w:szCs w:val="20"/>
          <w:color w:val="auto"/>
        </w:rPr>
      </w:pPr>
      <w:r>
        <w:rPr>
          <w:rFonts w:ascii="Times New Roman" w:cs="Times New Roman" w:eastAsia="Times New Roman" w:hAnsi="Times New Roman"/>
          <w:sz w:val="18"/>
          <w:szCs w:val="18"/>
          <w:color w:val="auto"/>
        </w:rPr>
        <w:t>Gift card breakage for gift card liabilities not subject to escheatment is recognized as revenue in proportion to the redemption of gift cards. Gift cards do not expire. The rate applied to redemptions is based upon a historical breakage rate. Gift cards are combined in one homogeneous pool and are not separately identifiable. Therefore, the revenue recognized consists of gift cards that were included in the liability at the beginning of the period as well as gift cards that were issued during the period. The following table is a reconciliation of the gift card liability:</w:t>
      </w:r>
    </w:p>
    <w:p>
      <w:pPr>
        <w:spacing w:after="0" w:line="183"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90"/>
        </w:trPr>
        <w:tc>
          <w:tcPr>
            <w:tcW w:w="20" w:type="dxa"/>
            <w:vAlign w:val="bottom"/>
          </w:tcPr>
          <w:p>
            <w:pPr>
              <w:spacing w:after="0"/>
              <w:rPr>
                <w:sz w:val="16"/>
                <w:szCs w:val="16"/>
                <w:color w:val="auto"/>
              </w:rPr>
            </w:pPr>
          </w:p>
        </w:tc>
        <w:tc>
          <w:tcPr>
            <w:tcW w:w="8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412"/>
              <w:spacing w:after="0" w:line="190" w:lineRule="exact"/>
              <w:rPr>
                <w:sz w:val="20"/>
                <w:szCs w:val="20"/>
                <w:color w:val="auto"/>
              </w:rPr>
            </w:pPr>
            <w:r>
              <w:rPr>
                <w:rFonts w:ascii="Times New Roman" w:cs="Times New Roman" w:eastAsia="Times New Roman" w:hAnsi="Times New Roman"/>
                <w:sz w:val="18"/>
                <w:szCs w:val="18"/>
                <w:b w:val="1"/>
                <w:bCs w:val="1"/>
                <w:color w:val="auto"/>
              </w:rPr>
              <w:t>May 2,</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92"/>
              <w:spacing w:after="0" w:line="190" w:lineRule="exact"/>
              <w:rPr>
                <w:sz w:val="20"/>
                <w:szCs w:val="20"/>
                <w:color w:val="auto"/>
              </w:rPr>
            </w:pPr>
            <w:r>
              <w:rPr>
                <w:rFonts w:ascii="Times New Roman" w:cs="Times New Roman" w:eastAsia="Times New Roman" w:hAnsi="Times New Roman"/>
                <w:sz w:val="18"/>
                <w:szCs w:val="18"/>
                <w:b w:val="1"/>
                <w:bCs w:val="1"/>
                <w:color w:val="auto"/>
              </w:rPr>
              <w:t>May 3,</w:t>
            </w:r>
          </w:p>
        </w:tc>
        <w:tc>
          <w:tcPr>
            <w:tcW w:w="10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(in</w:t>
            </w:r>
          </w:p>
        </w:tc>
        <w:tc>
          <w:tcPr>
            <w:tcW w:w="1280" w:type="dxa"/>
            <w:vAlign w:val="bottom"/>
            <w:gridSpan w:val="3"/>
          </w:tcPr>
          <w:p>
            <w:pPr>
              <w:jc w:val="right"/>
              <w:ind w:right="592"/>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Gift card issuances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947</w:t>
            </w:r>
          </w:p>
        </w:tc>
      </w:tr>
      <w:tr>
        <w:trPr>
          <w:trHeight w:val="217"/>
        </w:trPr>
        <w:tc>
          <w:tcPr>
            <w:tcW w:w="20" w:type="dxa"/>
            <w:vAlign w:val="bottom"/>
          </w:tcPr>
          <w:p>
            <w:pPr>
              <w:spacing w:after="0"/>
              <w:rPr>
                <w:sz w:val="18"/>
                <w:szCs w:val="18"/>
                <w:color w:val="auto"/>
              </w:rPr>
            </w:pPr>
          </w:p>
        </w:tc>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Gift card redemption and breakage</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(1,209)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(1,164)</w:t>
            </w:r>
          </w:p>
        </w:tc>
      </w:tr>
      <w:tr>
        <w:trPr>
          <w:trHeight w:val="211"/>
        </w:trPr>
        <w:tc>
          <w:tcPr>
            <w:tcW w:w="20" w:type="dxa"/>
            <w:vAlign w:val="bottom"/>
          </w:tcPr>
          <w:p>
            <w:pPr>
              <w:spacing w:after="0"/>
              <w:rPr>
                <w:sz w:val="18"/>
                <w:szCs w:val="18"/>
                <w:color w:val="auto"/>
              </w:rPr>
            </w:pPr>
          </w:p>
        </w:tc>
        <w:tc>
          <w:tcPr>
            <w:tcW w:w="8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Co-Branded Credit Card Revenue</w:t>
      </w:r>
    </w:p>
    <w:p>
      <w:pPr>
        <w:spacing w:after="0" w:line="217" w:lineRule="exact"/>
        <w:rPr>
          <w:sz w:val="20"/>
          <w:szCs w:val="20"/>
          <w:color w:val="auto"/>
        </w:rPr>
      </w:pPr>
    </w:p>
    <w:p>
      <w:pPr>
        <w:jc w:val="both"/>
        <w:ind w:left="480"/>
        <w:spacing w:after="0" w:line="252" w:lineRule="auto"/>
        <w:rPr>
          <w:sz w:val="20"/>
          <w:szCs w:val="20"/>
          <w:color w:val="auto"/>
        </w:rPr>
      </w:pPr>
      <w:r>
        <w:rPr>
          <w:rFonts w:ascii="Times New Roman" w:cs="Times New Roman" w:eastAsia="Times New Roman" w:hAnsi="Times New Roman"/>
          <w:sz w:val="18"/>
          <w:szCs w:val="18"/>
          <w:color w:val="auto"/>
        </w:rPr>
        <w:t>The Company offers a co-branded credit card that can be used by customers for purchases at Ollie’s and everywhere else the co-branded credit card is accepted, and credit is extended to such customers by a third-party financial institution on a non-recourse basis to the Company. The co-branded credit card includes a performance obligation for the Company which includes marketing and promoting the program on behalf of the bank and the operation of the Company’s loyalty rewards program. Loyalty members earn points through purchases made using the card.</w:t>
      </w:r>
    </w:p>
    <w:p>
      <w:pPr>
        <w:spacing w:after="0" w:line="185" w:lineRule="exact"/>
        <w:rPr>
          <w:sz w:val="20"/>
          <w:szCs w:val="20"/>
          <w:color w:val="auto"/>
        </w:rPr>
      </w:pPr>
    </w:p>
    <w:p>
      <w:pPr>
        <w:jc w:val="both"/>
        <w:ind w:left="480"/>
        <w:spacing w:after="0" w:line="252" w:lineRule="auto"/>
        <w:rPr>
          <w:sz w:val="20"/>
          <w:szCs w:val="20"/>
          <w:color w:val="auto"/>
        </w:rPr>
      </w:pPr>
      <w:r>
        <w:rPr>
          <w:rFonts w:ascii="Times New Roman" w:cs="Times New Roman" w:eastAsia="Times New Roman" w:hAnsi="Times New Roman"/>
          <w:sz w:val="18"/>
          <w:szCs w:val="18"/>
          <w:color w:val="auto"/>
        </w:rPr>
        <w:t>The third party reimburses the Company for certain credit card program costs such as advertising and loyalty points, which help promote the credit card program. The Company recognizes revenue when collectability is reasonably assured, under the assumption the amounts are not constrained and it is probable that a significant revenue reversal will not occur in future periods, which is generally the time at which the actual usage of the credit cards or specified transaction occurs.</w:t>
      </w:r>
    </w:p>
    <w:p>
      <w:pPr>
        <w:spacing w:after="0" w:line="185" w:lineRule="exact"/>
        <w:rPr>
          <w:sz w:val="20"/>
          <w:szCs w:val="20"/>
          <w:color w:val="auto"/>
        </w:rPr>
      </w:pPr>
    </w:p>
    <w:p>
      <w:pPr>
        <w:jc w:val="both"/>
        <w:ind w:left="480"/>
        <w:spacing w:after="0" w:line="256" w:lineRule="auto"/>
        <w:rPr>
          <w:sz w:val="20"/>
          <w:szCs w:val="20"/>
          <w:color w:val="auto"/>
        </w:rPr>
      </w:pPr>
      <w:r>
        <w:rPr>
          <w:rFonts w:ascii="Times New Roman" w:cs="Times New Roman" w:eastAsia="Times New Roman" w:hAnsi="Times New Roman"/>
          <w:sz w:val="18"/>
          <w:szCs w:val="18"/>
          <w:color w:val="auto"/>
        </w:rPr>
        <w:t>Under the program, the Company receives a percentage of the sales generated by Ollie’s co-branded Credit Card, in exchange for primary marketing functions. As a result, all amounts associated with the program are recognized within net sales on the consolidated statements of income. Additionally, the Company is entitled to certain bonuses based on performance of the program.</w:t>
      </w:r>
    </w:p>
    <w:p>
      <w:pPr>
        <w:spacing w:after="0" w:line="179" w:lineRule="exact"/>
        <w:rPr>
          <w:sz w:val="20"/>
          <w:szCs w:val="20"/>
          <w:color w:val="auto"/>
        </w:rPr>
      </w:pPr>
    </w:p>
    <w:p>
      <w:pPr>
        <w:ind w:left="500" w:hanging="495"/>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Common Share</w:t>
      </w:r>
    </w:p>
    <w:p>
      <w:pPr>
        <w:spacing w:after="0" w:line="216" w:lineRule="exact"/>
        <w:rPr>
          <w:rFonts w:ascii="Times New Roman" w:cs="Times New Roman" w:eastAsia="Times New Roman" w:hAnsi="Times New Roman"/>
          <w:sz w:val="18"/>
          <w:szCs w:val="18"/>
          <w:b w:val="1"/>
          <w:bCs w:val="1"/>
          <w:color w:val="auto"/>
        </w:rPr>
      </w:pPr>
    </w:p>
    <w:p>
      <w:pPr>
        <w:jc w:val="both"/>
        <w:ind w:left="4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per common share is computed by dividing net income by the weighted average number of common shares outstanding. Diluted earnings per common share is computed by dividing net income by the weighted average number of common shares outstanding after giving effect to the potential dilution, if applicable, from the assumed exercise of stock options into shares of common stock as if those stock options were exercised and the assumed lapse of restrictions on restricted stock units.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 2026 and May 3,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57"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those effects for the diluted earnings per common share calculation: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40"/>
              <w:spacing w:after="0" w:line="190" w:lineRule="exact"/>
              <w:rPr>
                <w:sz w:val="20"/>
                <w:szCs w:val="20"/>
                <w:color w:val="auto"/>
              </w:rPr>
            </w:pPr>
            <w:r>
              <w:rPr>
                <w:rFonts w:ascii="Times New Roman" w:cs="Times New Roman" w:eastAsia="Times New Roman" w:hAnsi="Times New Roman"/>
                <w:sz w:val="18"/>
                <w:szCs w:val="18"/>
                <w:b w:val="1"/>
                <w:bCs w:val="1"/>
                <w:color w:val="auto"/>
              </w:rPr>
              <w:t>May 2,</w:t>
            </w: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292"/>
              <w:spacing w:after="0" w:line="190" w:lineRule="exact"/>
              <w:rPr>
                <w:sz w:val="20"/>
                <w:szCs w:val="20"/>
                <w:color w:val="auto"/>
              </w:rPr>
            </w:pPr>
            <w:r>
              <w:rPr>
                <w:rFonts w:ascii="Times New Roman" w:cs="Times New Roman" w:eastAsia="Times New Roman" w:hAnsi="Times New Roman"/>
                <w:sz w:val="18"/>
                <w:szCs w:val="18"/>
                <w:b w:val="1"/>
                <w:bCs w:val="1"/>
                <w:color w:val="auto"/>
              </w:rPr>
              <w:t>May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7"/>
              </w:rPr>
              <w:t>(in thousands, except per share amounts)</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7820" w:type="dxa"/>
            <w:vAlign w:val="bottom"/>
          </w:tcPr>
          <w:p>
            <w:pPr>
              <w:spacing w:after="0"/>
              <w:rPr>
                <w:sz w:val="16"/>
                <w:szCs w:val="16"/>
                <w:color w:val="auto"/>
              </w:rPr>
            </w:pPr>
          </w:p>
        </w:tc>
        <w:tc>
          <w:tcPr>
            <w:tcW w:w="240" w:type="dxa"/>
            <w:vAlign w:val="bottom"/>
            <w:gridSpan w:val="2"/>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vMerge w:val="continue"/>
          </w:tcPr>
          <w:p>
            <w:pPr>
              <w:spacing w:after="0"/>
              <w:rPr>
                <w:sz w:val="21"/>
                <w:szCs w:val="21"/>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60,884</w:t>
            </w: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61,343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8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Incremental shares from the assumed exercise of outstanding stock options and vesting of restricted stock</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20" w:type="dxa"/>
            <w:vAlign w:val="bottom"/>
            <w:tcBorders>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Earnings per common share – Basic</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0.93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Earnings per common share - Diluted</w:t>
            </w:r>
          </w:p>
        </w:tc>
        <w:tc>
          <w:tcPr>
            <w:tcW w:w="2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0.92</w:t>
            </w:r>
          </w:p>
        </w:tc>
        <w:tc>
          <w:tcPr>
            <w:tcW w:w="240" w:type="dxa"/>
            <w:vAlign w:val="bottom"/>
          </w:tcPr>
          <w:p>
            <w:pPr>
              <w:spacing w:after="0"/>
              <w:rPr>
                <w:sz w:val="17"/>
                <w:szCs w:val="17"/>
                <w:color w:val="auto"/>
              </w:rPr>
            </w:pPr>
          </w:p>
        </w:tc>
        <w:tc>
          <w:tcPr>
            <w:tcW w:w="240" w:type="dxa"/>
            <w:vAlign w:val="bottom"/>
          </w:tcPr>
          <w:p>
            <w:pPr>
              <w:jc w:val="right"/>
              <w:ind w:right="5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ind w:left="480"/>
        <w:spacing w:after="0" w:line="256" w:lineRule="auto"/>
        <w:rPr>
          <w:sz w:val="20"/>
          <w:szCs w:val="20"/>
          <w:color w:val="auto"/>
        </w:rPr>
      </w:pPr>
      <w:r>
        <w:rPr>
          <w:rFonts w:ascii="Times New Roman" w:cs="Times New Roman" w:eastAsia="Times New Roman" w:hAnsi="Times New Roman"/>
          <w:sz w:val="18"/>
          <w:szCs w:val="18"/>
          <w:color w:val="auto"/>
        </w:rPr>
        <w:t>The effect of the weighted average assumed exercise of stock options outstanding totaling 177,721 and 72,615 for the thirteen weeks ended May 2, 2026 and May 3, 2025, respectively, were excluded from the calculation of diluted weighted average common shares outstanding because the effect would have been antidilutive.</w:t>
      </w:r>
    </w:p>
    <w:p>
      <w:pPr>
        <w:spacing w:after="0" w:line="181" w:lineRule="exact"/>
        <w:rPr>
          <w:sz w:val="20"/>
          <w:szCs w:val="20"/>
          <w:color w:val="auto"/>
        </w:rPr>
      </w:pPr>
    </w:p>
    <w:p>
      <w:pPr>
        <w:jc w:val="both"/>
        <w:ind w:left="480"/>
        <w:spacing w:after="0" w:line="256" w:lineRule="auto"/>
        <w:rPr>
          <w:sz w:val="20"/>
          <w:szCs w:val="20"/>
          <w:color w:val="auto"/>
        </w:rPr>
      </w:pPr>
      <w:r>
        <w:rPr>
          <w:rFonts w:ascii="Times New Roman" w:cs="Times New Roman" w:eastAsia="Times New Roman" w:hAnsi="Times New Roman"/>
          <w:sz w:val="18"/>
          <w:szCs w:val="18"/>
          <w:color w:val="auto"/>
        </w:rPr>
        <w:t>The effect of weighted average non-vested restricted stock units outstanding totaling 24,443 and 34,200 for the thirteen weeks ended May 2, 2026 and May 3, 2025, respectively, were excluded from the calculation of diluted weighted average common shares outstanding because the effect would have been antidilutive.</w:t>
      </w:r>
    </w:p>
    <w:p>
      <w:pPr>
        <w:spacing w:after="0" w:line="179" w:lineRule="exact"/>
        <w:rPr>
          <w:sz w:val="20"/>
          <w:szCs w:val="20"/>
          <w:color w:val="auto"/>
        </w:rPr>
      </w:pPr>
    </w:p>
    <w:p>
      <w:pPr>
        <w:ind w:left="480" w:hanging="475"/>
        <w:spacing w:after="0"/>
        <w:tabs>
          <w:tab w:leader="none" w:pos="4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16" w:lineRule="exact"/>
        <w:rPr>
          <w:rFonts w:ascii="Times New Roman" w:cs="Times New Roman" w:eastAsia="Times New Roman" w:hAnsi="Times New Roman"/>
          <w:sz w:val="18"/>
          <w:szCs w:val="18"/>
          <w:b w:val="1"/>
          <w:bCs w:val="1"/>
          <w:color w:val="auto"/>
        </w:rPr>
      </w:pPr>
    </w:p>
    <w:p>
      <w:pPr>
        <w:jc w:val="both"/>
        <w:ind w:left="480"/>
        <w:spacing w:after="0" w:line="24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generally leases its stores, offices, and distribution facilities under operating leases that expire at various dates through the year 2043. These leases generally provide for fixed annual rentals; however, several provide for minimum annual rentals plus contingent rentals based on a percentage of annual sales. A majority of the Company’s leases also require a payment for all or a portion of common-area maintenance, insurance, real estate taxes, water and sewer costs, and repairs, on a fixed or variable payment basis. Many of the Company’s lease agreements provide options to extend the lease term beyond the initial non-cancelable period. Most of the leases contain options to renew for three to five successive five-year periods. At lease commencement, the Company generally includes only the initial term in the lease liability and right-of-use asset, as it has determined that renewal options are not reasonably certain to be exercised. Renewal decisions are generally at the Company’s sole discretion. Upon renewal of an expiring lease, the Company reassesses the terms and includes in the lease term any extension periods that are reasonably certain to be exercised. For leases acquired through bankruptcy proceedings, the Company typically includes option periods in the lease term, as the economic penalty associated with the acquisition cost makes renewal reasonably certain. The Company’s lease agreements generally do not contain any material residual value guarantees or material restrictive covenants.</w:t>
      </w:r>
    </w:p>
    <w:p>
      <w:pPr>
        <w:spacing w:after="0" w:line="195" w:lineRule="exact"/>
        <w:rPr>
          <w:rFonts w:ascii="Times New Roman" w:cs="Times New Roman" w:eastAsia="Times New Roman" w:hAnsi="Times New Roman"/>
          <w:sz w:val="18"/>
          <w:szCs w:val="18"/>
          <w:b w:val="1"/>
          <w:bCs w:val="1"/>
          <w:color w:val="auto"/>
        </w:rPr>
      </w:pPr>
    </w:p>
    <w:p>
      <w:pPr>
        <w:jc w:val="both"/>
        <w:ind w:left="4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determines if an arrangement contains a lease at the inception of a contract. All of the Company’s leases are classified as operating leases and the associated assets and liabilities are presented as separate captions in the consolidated balance sheets. Operating lease assets represent the Company’s right to use an underlying asset for the lease term and operating lease liabilities represent the Company’s obligation to make lease payments arising from the lease.</w:t>
      </w:r>
    </w:p>
    <w:p>
      <w:pPr>
        <w:spacing w:after="0" w:line="184" w:lineRule="exact"/>
        <w:rPr>
          <w:rFonts w:ascii="Times New Roman" w:cs="Times New Roman" w:eastAsia="Times New Roman" w:hAnsi="Times New Roman"/>
          <w:sz w:val="18"/>
          <w:szCs w:val="18"/>
          <w:b w:val="1"/>
          <w:bCs w:val="1"/>
          <w:color w:val="auto"/>
        </w:rPr>
      </w:pPr>
    </w:p>
    <w:p>
      <w:pPr>
        <w:ind w:left="480"/>
        <w:spacing w:after="0" w:line="26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Store and office lease costs are classified in selling, general, and administrative expenses (“SG&amp;A”) and distribution center lease costs are classified in cost of sales on the condensed consolidated statements of income.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tbl>
      <w:tblPr>
        <w:tblLayout w:type="fixed"/>
        <w:tblInd w:w="48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8040" w:type="dxa"/>
            <w:vAlign w:val="bottom"/>
          </w:tcPr>
          <w:p>
            <w:pPr>
              <w:jc w:val="center"/>
              <w:ind w:left="2113"/>
              <w:spacing w:after="0" w:line="201" w:lineRule="exact"/>
              <w:rPr>
                <w:sz w:val="20"/>
                <w:szCs w:val="20"/>
                <w:color w:val="auto"/>
              </w:rPr>
            </w:pPr>
            <w:r>
              <w:rPr>
                <w:rFonts w:ascii="Times New Roman" w:cs="Times New Roman" w:eastAsia="Times New Roman" w:hAnsi="Times New Roman"/>
                <w:sz w:val="18"/>
                <w:szCs w:val="18"/>
                <w:b w:val="1"/>
                <w:bCs w:val="1"/>
                <w:color w:val="auto"/>
                <w:w w:val="97"/>
              </w:rPr>
              <w:t>OLLIE’S BARGAIN OUTLET HOLDINGS, INC. AND SUBSIDIARIES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8040" w:type="dxa"/>
            <w:vAlign w:val="bottom"/>
          </w:tcPr>
          <w:p>
            <w:pPr>
              <w:jc w:val="center"/>
              <w:ind w:left="2133"/>
              <w:spacing w:after="0"/>
              <w:rPr>
                <w:sz w:val="20"/>
                <w:szCs w:val="20"/>
                <w:color w:val="auto"/>
              </w:rPr>
            </w:pPr>
            <w:r>
              <w:rPr>
                <w:rFonts w:ascii="Times New Roman" w:cs="Times New Roman" w:eastAsia="Times New Roman" w:hAnsi="Times New Roman"/>
                <w:sz w:val="18"/>
                <w:szCs w:val="18"/>
                <w:color w:val="auto"/>
                <w:w w:val="97"/>
              </w:rPr>
              <w:t>Notes to Condensed Consolidated Financial Statements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040" w:type="dxa"/>
            <w:vAlign w:val="bottom"/>
          </w:tcPr>
          <w:p>
            <w:pPr>
              <w:jc w:val="center"/>
              <w:ind w:left="2113"/>
              <w:spacing w:after="0"/>
              <w:rPr>
                <w:sz w:val="20"/>
                <w:szCs w:val="20"/>
                <w:color w:val="auto"/>
              </w:rPr>
            </w:pPr>
            <w:r>
              <w:rPr>
                <w:rFonts w:ascii="Times New Roman" w:cs="Times New Roman" w:eastAsia="Times New Roman" w:hAnsi="Times New Roman"/>
                <w:sz w:val="18"/>
                <w:szCs w:val="18"/>
                <w:color w:val="auto"/>
                <w:w w:val="97"/>
              </w:rPr>
              <w:t>May 2, 2026 and May 3, 2025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8040" w:type="dxa"/>
            <w:vAlign w:val="bottom"/>
          </w:tcPr>
          <w:p>
            <w:pPr>
              <w:jc w:val="center"/>
              <w:ind w:left="2113"/>
              <w:spacing w:after="0"/>
              <w:rPr>
                <w:sz w:val="20"/>
                <w:szCs w:val="20"/>
                <w:color w:val="auto"/>
              </w:rPr>
            </w:pPr>
            <w:r>
              <w:rPr>
                <w:rFonts w:ascii="Times New Roman" w:cs="Times New Roman" w:eastAsia="Times New Roman" w:hAnsi="Times New Roman"/>
                <w:sz w:val="18"/>
                <w:szCs w:val="18"/>
                <w:color w:val="auto"/>
                <w:w w:val="96"/>
              </w:rPr>
              <w:t>(Unaudited)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2"/>
        </w:trPr>
        <w:tc>
          <w:tcPr>
            <w:tcW w:w="9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summarizes the maturity of the Company’s operating lease liabilities by fiscal year as of May 2, 2026: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2"/>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May 2,</w:t>
            </w:r>
          </w:p>
        </w:tc>
      </w:tr>
      <w:tr>
        <w:trPr>
          <w:trHeight w:val="238"/>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(in thousands)</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91,376</w:t>
            </w:r>
          </w:p>
        </w:tc>
      </w:tr>
      <w:tr>
        <w:trPr>
          <w:trHeight w:val="211"/>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145,069</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130,176</w:t>
            </w:r>
          </w:p>
        </w:tc>
        <w:tc>
          <w:tcPr>
            <w:tcW w:w="1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109,408</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86,307</w:t>
            </w:r>
          </w:p>
        </w:tc>
      </w:tr>
      <w:tr>
        <w:trPr>
          <w:trHeight w:val="217"/>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300,602</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04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5"/>
                <w:szCs w:val="15"/>
                <w:color w:val="auto"/>
              </w:rPr>
              <w:t xml:space="preserve">Total undiscounted lease payments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862,938</w:t>
            </w:r>
          </w:p>
        </w:tc>
        <w:tc>
          <w:tcPr>
            <w:tcW w:w="100" w:type="dxa"/>
            <w:vAlign w:val="bottom"/>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(154,999)</w:t>
            </w:r>
          </w:p>
        </w:tc>
      </w:tr>
      <w:tr>
        <w:trPr>
          <w:trHeight w:val="211"/>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obligations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707,939</w:t>
            </w:r>
          </w:p>
        </w:tc>
        <w:tc>
          <w:tcPr>
            <w:tcW w:w="100" w:type="dxa"/>
            <w:vAlign w:val="bottom"/>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(111,764)</w:t>
            </w:r>
          </w:p>
        </w:tc>
      </w:tr>
      <w:tr>
        <w:trPr>
          <w:trHeight w:val="251"/>
        </w:trPr>
        <w:tc>
          <w:tcPr>
            <w:tcW w:w="20" w:type="dxa"/>
            <w:vAlign w:val="bottom"/>
          </w:tcPr>
          <w:p>
            <w:pPr>
              <w:spacing w:after="0"/>
              <w:rPr>
                <w:sz w:val="21"/>
                <w:szCs w:val="21"/>
                <w:color w:val="auto"/>
              </w:rPr>
            </w:pPr>
          </w:p>
        </w:tc>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596,175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4"/>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Lease obligations exclude $57.4 million of minimum lease payments for leases signed but not commenced.</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2"/>
        </w:trPr>
        <w:tc>
          <w:tcPr>
            <w:tcW w:w="9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summarizes other information related to the Company’s operating leases as of and for the respective periods: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90"/>
        </w:trPr>
        <w:tc>
          <w:tcPr>
            <w:tcW w:w="2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480"/>
              <w:spacing w:after="0" w:line="190" w:lineRule="exact"/>
              <w:rPr>
                <w:sz w:val="20"/>
                <w:szCs w:val="20"/>
                <w:color w:val="auto"/>
              </w:rPr>
            </w:pPr>
            <w:r>
              <w:rPr>
                <w:rFonts w:ascii="Times New Roman" w:cs="Times New Roman" w:eastAsia="Times New Roman" w:hAnsi="Times New Roman"/>
                <w:sz w:val="18"/>
                <w:szCs w:val="18"/>
                <w:b w:val="1"/>
                <w:bCs w:val="1"/>
                <w:color w:val="auto"/>
              </w:rPr>
              <w:t>May 2,</w:t>
            </w: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92"/>
              <w:spacing w:after="0" w:line="190" w:lineRule="exact"/>
              <w:rPr>
                <w:sz w:val="20"/>
                <w:szCs w:val="20"/>
                <w:color w:val="auto"/>
              </w:rPr>
            </w:pPr>
            <w:r>
              <w:rPr>
                <w:rFonts w:ascii="Times New Roman" w:cs="Times New Roman" w:eastAsia="Times New Roman" w:hAnsi="Times New Roman"/>
                <w:sz w:val="18"/>
                <w:szCs w:val="18"/>
                <w:b w:val="1"/>
                <w:bCs w:val="1"/>
                <w:color w:val="auto"/>
              </w:rPr>
              <w:t>May 3,</w:t>
            </w:r>
          </w:p>
        </w:tc>
        <w:tc>
          <w:tcPr>
            <w:tcW w:w="160" w:type="dxa"/>
            <w:vAlign w:val="bottom"/>
            <w:gridSpan w:val="2"/>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8"/>
          </w:tcPr>
          <w:p>
            <w:pPr>
              <w:jc w:val="right"/>
              <w:ind w:right="60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11"/>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51,100</w:t>
            </w:r>
          </w:p>
        </w:tc>
        <w:tc>
          <w:tcPr>
            <w:tcW w:w="26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33,543</w:t>
            </w:r>
          </w:p>
        </w:tc>
        <w:tc>
          <w:tcPr>
            <w:tcW w:w="1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36,452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32,157</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5,707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Non-cash right-of-use assets obtained in exchange for lease obligations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22,351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94,952</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8.15 years</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 years</w:t>
            </w:r>
          </w:p>
        </w:tc>
      </w:tr>
      <w:tr>
        <w:trPr>
          <w:trHeight w:val="228"/>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173" w:lineRule="exact"/>
        <w:rPr>
          <w:sz w:val="20"/>
          <w:szCs w:val="20"/>
          <w:color w:val="auto"/>
        </w:rPr>
      </w:pPr>
    </w:p>
    <w:p>
      <w:pPr>
        <w:ind w:left="480" w:right="8260" w:hanging="475"/>
        <w:spacing w:after="0" w:line="489" w:lineRule="auto"/>
        <w:tabs>
          <w:tab w:leader="none" w:pos="487"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Contingencies</w:t>
      </w:r>
    </w:p>
    <w:p>
      <w:pPr>
        <w:spacing w:after="0" w:line="1" w:lineRule="exact"/>
        <w:rPr>
          <w:rFonts w:ascii="Times New Roman" w:cs="Times New Roman" w:eastAsia="Times New Roman" w:hAnsi="Times New Roman"/>
          <w:sz w:val="18"/>
          <w:szCs w:val="18"/>
          <w:b w:val="1"/>
          <w:bCs w:val="1"/>
          <w:color w:val="auto"/>
        </w:rPr>
      </w:pPr>
    </w:p>
    <w:p>
      <w:pPr>
        <w:jc w:val="both"/>
        <w:ind w:left="4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the Company may be involved in claims and legal actions that arise in the ordinary course of its business. The Company cannot predict the outcome of any claim or legal action to which it is a party. However, the Company does not believe that an unfavorable decision of any of the current claims or legal actions against it, individually or in the aggregate, will have a material adverse effect on its financial position, results of operations, liquidity, or capital resources.</w:t>
      </w:r>
    </w:p>
    <w:p>
      <w:pPr>
        <w:spacing w:after="0" w:line="180"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IEEPA Tariff Refunds</w:t>
      </w:r>
    </w:p>
    <w:p>
      <w:pPr>
        <w:spacing w:after="0" w:line="218" w:lineRule="exact"/>
        <w:rPr>
          <w:rFonts w:ascii="Times New Roman" w:cs="Times New Roman" w:eastAsia="Times New Roman" w:hAnsi="Times New Roman"/>
          <w:sz w:val="18"/>
          <w:szCs w:val="18"/>
          <w:b w:val="1"/>
          <w:bCs w:val="1"/>
          <w:color w:val="auto"/>
        </w:rPr>
      </w:pPr>
    </w:p>
    <w:p>
      <w:pPr>
        <w:jc w:val="both"/>
        <w:ind w:left="48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2026, the U.S. Supreme Court issued a ruling that certain tariffs previously imposed under the International Emergency Economic Powers Act (“IEEPA”) were invalid, and in March 2026, the U.S. Court of International Trade ruled that the U.S. Customs and Border Protection (“CBP”) must refund duties imposed under IEEPA. In April 2026, the CBP launched a platform for submitting IEEPA tariff refund claims. As of May 2, 2026, the Company had not recognized the effect of any potential tariff refunds, as the timing and amount of any potential refunds for previously collected tariffs remains uncertain and may be subject to further legal and regulatory developments. The Company will continue to monitor these developments and their potential impact on its financial position, results of operations, and cash flows.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 2026 and May 3,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55" w:lineRule="exact"/>
        <w:rPr>
          <w:sz w:val="20"/>
          <w:szCs w:val="20"/>
          <w:color w:val="auto"/>
        </w:rPr>
      </w:pPr>
    </w:p>
    <w:p>
      <w:pPr>
        <w:ind w:left="500" w:hanging="495"/>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16"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consists of the following:</w:t>
      </w:r>
    </w:p>
    <w:p>
      <w:pPr>
        <w:spacing w:after="0" w:line="213" w:lineRule="exact"/>
        <w:rPr>
          <w:sz w:val="20"/>
          <w:szCs w:val="20"/>
          <w:color w:val="auto"/>
        </w:rPr>
      </w:pPr>
    </w:p>
    <w:tbl>
      <w:tblPr>
        <w:tblLayout w:type="fixed"/>
        <w:tblInd w:w="480" w:type="dxa"/>
        <w:tblCellMar>
          <w:top w:w="0" w:type="dxa"/>
          <w:left w:w="0" w:type="dxa"/>
          <w:bottom w:w="0" w:type="dxa"/>
          <w:right w:w="0" w:type="dxa"/>
        </w:tblCellMar>
      </w:tblPr>
      <w:tr>
        <w:trPr>
          <w:trHeight w:val="211"/>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May 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May 3,</w:t>
            </w:r>
          </w:p>
        </w:tc>
      </w:tr>
      <w:tr>
        <w:trPr>
          <w:trHeight w:val="238"/>
        </w:trPr>
        <w:tc>
          <w:tcPr>
            <w:tcW w:w="7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1"/>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(in thousands)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21,157</w:t>
            </w: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23,216</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19,287</w:t>
            </w:r>
          </w:p>
        </w:tc>
      </w:tr>
      <w:tr>
        <w:trPr>
          <w:trHeight w:val="21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Freight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15,939</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100" w:type="dxa"/>
            <w:vAlign w:val="bottom"/>
          </w:tcPr>
          <w:p>
            <w:pPr>
              <w:spacing w:after="0"/>
              <w:rPr>
                <w:sz w:val="18"/>
                <w:szCs w:val="18"/>
                <w:color w:val="auto"/>
              </w:rPr>
            </w:pPr>
          </w:p>
        </w:tc>
      </w:tr>
      <w:tr>
        <w:trPr>
          <w:trHeight w:val="21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16,558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16,772</w:t>
            </w:r>
          </w:p>
        </w:tc>
      </w:tr>
      <w:tr>
        <w:trPr>
          <w:trHeight w:val="21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Sales and use taxes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10,063</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12,312</w:t>
            </w:r>
          </w:p>
        </w:tc>
      </w:tr>
      <w:tr>
        <w:trPr>
          <w:trHeight w:val="21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11,722</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100" w:type="dxa"/>
            <w:vAlign w:val="bottom"/>
            <w:shd w:val="clear" w:color="auto" w:fill="CCEEFF"/>
          </w:tcPr>
          <w:p>
            <w:pPr>
              <w:spacing w:after="0"/>
              <w:rPr>
                <w:sz w:val="18"/>
                <w:szCs w:val="18"/>
                <w:color w:val="auto"/>
              </w:rPr>
            </w:pPr>
          </w:p>
        </w:tc>
      </w:tr>
      <w:tr>
        <w:trPr>
          <w:trHeight w:val="21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6,636</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tcPr>
          <w:p>
            <w:pPr>
              <w:spacing w:after="0"/>
              <w:rPr>
                <w:sz w:val="18"/>
                <w:szCs w:val="18"/>
                <w:color w:val="auto"/>
              </w:rPr>
            </w:pPr>
          </w:p>
        </w:tc>
      </w:tr>
      <w:tr>
        <w:trPr>
          <w:trHeight w:val="21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related</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00" w:type="dxa"/>
            <w:vAlign w:val="bottom"/>
            <w:shd w:val="clear" w:color="auto" w:fill="CCEEFF"/>
          </w:tcPr>
          <w:p>
            <w:pPr>
              <w:spacing w:after="0"/>
              <w:rPr>
                <w:sz w:val="18"/>
                <w:szCs w:val="18"/>
                <w:color w:val="auto"/>
              </w:rPr>
            </w:pPr>
          </w:p>
        </w:tc>
      </w:tr>
      <w:tr>
        <w:trPr>
          <w:trHeight w:val="211"/>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8,763</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00" w:type="dxa"/>
            <w:vAlign w:val="bottom"/>
          </w:tcPr>
          <w:p>
            <w:pPr>
              <w:spacing w:after="0"/>
              <w:rPr>
                <w:sz w:val="18"/>
                <w:szCs w:val="18"/>
                <w:color w:val="auto"/>
              </w:rPr>
            </w:pPr>
          </w:p>
        </w:tc>
      </w:tr>
      <w:tr>
        <w:trPr>
          <w:trHeight w:val="217"/>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16,147</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120,909</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111,857</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95,238</w:t>
            </w:r>
          </w:p>
        </w:tc>
      </w:tr>
      <w:tr>
        <w:trPr>
          <w:trHeight w:val="20"/>
        </w:trPr>
        <w:tc>
          <w:tcPr>
            <w:tcW w:w="7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left="480" w:right="7240" w:hanging="475"/>
        <w:spacing w:after="0" w:line="551" w:lineRule="auto"/>
        <w:tabs>
          <w:tab w:leader="none" w:pos="48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Debt Obligations and Financing Arrangements </w:t>
      </w:r>
      <w:r>
        <w:rPr>
          <w:rFonts w:ascii="Times New Roman" w:cs="Times New Roman" w:eastAsia="Times New Roman" w:hAnsi="Times New Roman"/>
          <w:sz w:val="16"/>
          <w:szCs w:val="16"/>
          <w:color w:val="auto"/>
        </w:rPr>
        <w:t>Long-term debt consists of finance leases.</w:t>
      </w:r>
    </w:p>
    <w:p>
      <w:pPr>
        <w:jc w:val="both"/>
        <w:ind w:left="480"/>
        <w:spacing w:after="0" w:line="24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Company’s credit facility (the “Credit Facility”) provides for a five-year $100.0 million revolving credit facility, which includes a $45.0 million sub-facility for letters of credit and a $25.0 million sub-facility for swingline loans (the “Revolving Credit Facility”). In addition, the Company may at any time add term loan facilities or additional revolving commitments up to $150.0 million pursuant to terms and conditions set out in the Credit Facility. On January 9, 2024, the Company refinanced its credit facility (the “Credit Facility”), pursuant to which the maturity date for any loans under the revolving credit facility was extended for a period of five years from the effective date of January 9, 2024 and a zero percent (0.0%) interest rate floor was added to the option for the SOFR Loan Rate (as defined in the Amendment). Loans under the Revolving Credit Facility mature on January 9, 2029.</w:t>
      </w:r>
    </w:p>
    <w:p>
      <w:pPr>
        <w:spacing w:after="0" w:line="189" w:lineRule="exact"/>
        <w:rPr>
          <w:rFonts w:ascii="Times New Roman" w:cs="Times New Roman" w:eastAsia="Times New Roman" w:hAnsi="Times New Roman"/>
          <w:sz w:val="16"/>
          <w:szCs w:val="16"/>
          <w:b w:val="1"/>
          <w:bCs w:val="1"/>
          <w:color w:val="auto"/>
        </w:rPr>
      </w:pPr>
    </w:p>
    <w:p>
      <w:pPr>
        <w:jc w:val="both"/>
        <w:ind w:left="480"/>
        <w:spacing w:after="0" w:line="24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On January 24, 2023, the Company amended its Credit Facility to replace the LIBOR-based interest rates included therein with SOFR-based interest rates and to modify the provisions for determining an alternative rate of interest upon the occurrence of certain events relating to the availability of interest rate benchmarks. The interest rates for the Credit Facility are calculated as follows: for ABR Loans, the highest of the Prime Rate, the Federal Funds Effective Rate plus 0.50% and Term SOFR with a term of one-month in effect on such day plus the SOFR Spread Adjustment plus 1.0%, plus the Applicable Margin, or, for SOFR Loans, the SOFR Loan Rate plus the Applicable Margin plus the SOFR Spread Adjustment. The Applicable Margin will vary from 0.00% to 0.50% for an ABR Loan and 1.00% to 1.50% for a SOFR Loan, based on availability under the Credit Facility. The SOFR Loan Rate is subject to a 0% floor.</w:t>
      </w:r>
    </w:p>
    <w:p>
      <w:pPr>
        <w:spacing w:after="0" w:line="189" w:lineRule="exact"/>
        <w:rPr>
          <w:rFonts w:ascii="Times New Roman" w:cs="Times New Roman" w:eastAsia="Times New Roman" w:hAnsi="Times New Roman"/>
          <w:sz w:val="16"/>
          <w:szCs w:val="16"/>
          <w:b w:val="1"/>
          <w:bCs w:val="1"/>
          <w:color w:val="auto"/>
        </w:rPr>
      </w:pPr>
    </w:p>
    <w:p>
      <w:pPr>
        <w:ind w:left="480"/>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Under the terms of the Revolving Credit Facility, as of May 2, 2026, the Company could borrow up to 90.0% of the most recent appraised value (valued at cost, discounted for the current net orderly liquidation value) of its eligible inventory, as defined, up to $100.0 million.</w:t>
      </w:r>
    </w:p>
    <w:p>
      <w:pPr>
        <w:spacing w:after="0" w:line="168" w:lineRule="exact"/>
        <w:rPr>
          <w:rFonts w:ascii="Times New Roman" w:cs="Times New Roman" w:eastAsia="Times New Roman" w:hAnsi="Times New Roman"/>
          <w:sz w:val="16"/>
          <w:szCs w:val="16"/>
          <w:b w:val="1"/>
          <w:bCs w:val="1"/>
          <w:color w:val="auto"/>
        </w:rPr>
      </w:pPr>
    </w:p>
    <w:p>
      <w:pPr>
        <w:jc w:val="both"/>
        <w:ind w:left="480"/>
        <w:spacing w:after="0" w:line="25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As of May 2, 2026, the Company had no outstanding borrowings under the Revolving Credit Facility, with $89.6 million of borrowing availability, outstanding letters of credit commitments of $10.2 million and $0.2 million of rent reserves. The Revolving Credit Facility also contains a variable unused line fee ranging from 0.125% to 0.250% per annum.</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 2026 and May 3,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57" w:lineRule="exact"/>
        <w:rPr>
          <w:sz w:val="20"/>
          <w:szCs w:val="20"/>
          <w:color w:val="auto"/>
        </w:rPr>
      </w:pPr>
    </w:p>
    <w:p>
      <w:pPr>
        <w:jc w:val="both"/>
        <w:ind w:left="480"/>
        <w:spacing w:after="0" w:line="252" w:lineRule="auto"/>
        <w:rPr>
          <w:sz w:val="20"/>
          <w:szCs w:val="20"/>
          <w:color w:val="auto"/>
        </w:rPr>
      </w:pPr>
      <w:r>
        <w:rPr>
          <w:rFonts w:ascii="Times New Roman" w:cs="Times New Roman" w:eastAsia="Times New Roman" w:hAnsi="Times New Roman"/>
          <w:sz w:val="18"/>
          <w:szCs w:val="18"/>
          <w:color w:val="auto"/>
        </w:rPr>
        <w:t>The Credit Facility is collateralized by the Company’s assets and equity and contains a financial covenant, as well as certain business covenants, including restrictions on dividend payments, which the Company must comply with during the term of the agreement. The financial covenant is a consolidated fixed charge coverage ratio test of at least 1.0 to 1.0 applicable during a covenant period, based on reference to availability. The Company was in compliance with all terms of the Credit Facility during the thirteen weeks ended May 2, 2026.</w:t>
      </w:r>
    </w:p>
    <w:p>
      <w:pPr>
        <w:spacing w:after="0" w:line="185" w:lineRule="exact"/>
        <w:rPr>
          <w:sz w:val="20"/>
          <w:szCs w:val="20"/>
          <w:color w:val="auto"/>
        </w:rPr>
      </w:pPr>
    </w:p>
    <w:p>
      <w:pPr>
        <w:jc w:val="both"/>
        <w:ind w:left="480"/>
        <w:spacing w:after="0" w:line="252" w:lineRule="auto"/>
        <w:rPr>
          <w:sz w:val="20"/>
          <w:szCs w:val="20"/>
          <w:color w:val="auto"/>
        </w:rPr>
      </w:pPr>
      <w:r>
        <w:rPr>
          <w:rFonts w:ascii="Times New Roman" w:cs="Times New Roman" w:eastAsia="Times New Roman" w:hAnsi="Times New Roman"/>
          <w:sz w:val="18"/>
          <w:szCs w:val="18"/>
          <w:color w:val="auto"/>
        </w:rPr>
        <w:t>The provisions of the Credit Facility restrict all of the net assets of the Company’s consolidated subsidiaries, which constitutes all of the net assets on the Company’s consolidated balance sheet as of May 2, 2026, from being used to pay any dividends or make other restricted payments to the Company without prior written consent from the financial institutions that are a party to the Credit Facility, subject to material exceptions including proforma compliance with the applicable conditions described in the Credit Facility.</w:t>
      </w:r>
    </w:p>
    <w:p>
      <w:pPr>
        <w:spacing w:after="0" w:line="183" w:lineRule="exact"/>
        <w:rPr>
          <w:sz w:val="20"/>
          <w:szCs w:val="20"/>
          <w:color w:val="auto"/>
        </w:rPr>
      </w:pPr>
    </w:p>
    <w:p>
      <w:pPr>
        <w:ind w:left="500" w:hanging="495"/>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16" w:lineRule="exact"/>
        <w:rPr>
          <w:rFonts w:ascii="Times New Roman" w:cs="Times New Roman" w:eastAsia="Times New Roman" w:hAnsi="Times New Roman"/>
          <w:sz w:val="18"/>
          <w:szCs w:val="18"/>
          <w:b w:val="1"/>
          <w:bCs w:val="1"/>
          <w:color w:val="auto"/>
        </w:rPr>
      </w:pPr>
    </w:p>
    <w:p>
      <w:pPr>
        <w:jc w:val="both"/>
        <w:ind w:left="4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income tax rates for the thirteen weeks ended May 2, 2026 and May 3, 2025 were 24.3% and 22.0%, respectively. The change in the effective income tax rate was driven by the impact of discrete items recognized, primarily excess tax benefits related to stock-based compensation and the expiration of the Work Opportunity Tax Credit.</w:t>
      </w:r>
    </w:p>
    <w:p>
      <w:pPr>
        <w:spacing w:after="0" w:line="180" w:lineRule="exact"/>
        <w:rPr>
          <w:rFonts w:ascii="Times New Roman" w:cs="Times New Roman" w:eastAsia="Times New Roman" w:hAnsi="Times New Roman"/>
          <w:sz w:val="18"/>
          <w:szCs w:val="18"/>
          <w:b w:val="1"/>
          <w:bCs w:val="1"/>
          <w:color w:val="auto"/>
        </w:rPr>
      </w:pPr>
    </w:p>
    <w:p>
      <w:pPr>
        <w:jc w:val="both"/>
        <w:ind w:left="4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4, 2025, the U.S. federal government enacted the “One Big Beautiful Bill Act” resulting in significant changes to the federal tax code, most notably the permanent extension of certain expiring provisions of the Tax Cuts and Jobs Act of 2017 and the restoration of favorable tax treatment for certain business provisions. The Company has evaluated and incorporated the effects of the legislation in its income tax provision.</w:t>
      </w:r>
    </w:p>
    <w:p>
      <w:pPr>
        <w:spacing w:after="0" w:line="180" w:lineRule="exact"/>
        <w:rPr>
          <w:rFonts w:ascii="Times New Roman" w:cs="Times New Roman" w:eastAsia="Times New Roman" w:hAnsi="Times New Roman"/>
          <w:sz w:val="18"/>
          <w:szCs w:val="18"/>
          <w:b w:val="1"/>
          <w:bCs w:val="1"/>
          <w:color w:val="auto"/>
        </w:rPr>
      </w:pPr>
    </w:p>
    <w:p>
      <w:pPr>
        <w:ind w:left="480"/>
        <w:spacing w:after="0" w:line="26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tax in the United States. The Company files a consolidated U.S. income tax return for federal income tax purposes. The Company is no longer subject to income tax examinations by U.S. federal, or state and local tax authorities for tax years prior to 2022.</w:t>
      </w:r>
    </w:p>
    <w:p>
      <w:pPr>
        <w:spacing w:after="0" w:line="168" w:lineRule="exact"/>
        <w:rPr>
          <w:rFonts w:ascii="Times New Roman" w:cs="Times New Roman" w:eastAsia="Times New Roman" w:hAnsi="Times New Roman"/>
          <w:sz w:val="18"/>
          <w:szCs w:val="18"/>
          <w:b w:val="1"/>
          <w:bCs w:val="1"/>
          <w:color w:val="auto"/>
        </w:rPr>
      </w:pPr>
    </w:p>
    <w:p>
      <w:pPr>
        <w:jc w:val="both"/>
        <w:ind w:left="4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believes that an adequate provision has been made for any adjustments that may result from tax examinations. However, the outcome of tax audits cannot be predicted with certainty. If any issues arise as a result of a tax audit and are resolved in a manner not consistent with management’s expectations, the Company could be required to adjust its provision for income taxes in the period such resolution occurs.</w:t>
      </w:r>
    </w:p>
    <w:p>
      <w:pPr>
        <w:spacing w:after="0" w:line="178" w:lineRule="exact"/>
        <w:rPr>
          <w:rFonts w:ascii="Times New Roman" w:cs="Times New Roman" w:eastAsia="Times New Roman" w:hAnsi="Times New Roman"/>
          <w:sz w:val="18"/>
          <w:szCs w:val="18"/>
          <w:b w:val="1"/>
          <w:bCs w:val="1"/>
          <w:color w:val="auto"/>
        </w:rPr>
      </w:pPr>
    </w:p>
    <w:p>
      <w:pPr>
        <w:ind w:left="500" w:hanging="495"/>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w:t>
      </w:r>
    </w:p>
    <w:p>
      <w:pPr>
        <w:spacing w:after="0" w:line="216" w:lineRule="exact"/>
        <w:rPr>
          <w:rFonts w:ascii="Times New Roman" w:cs="Times New Roman" w:eastAsia="Times New Roman" w:hAnsi="Times New Roman"/>
          <w:sz w:val="18"/>
          <w:szCs w:val="18"/>
          <w:b w:val="1"/>
          <w:bCs w:val="1"/>
          <w:color w:val="auto"/>
        </w:rPr>
      </w:pPr>
    </w:p>
    <w:p>
      <w:pPr>
        <w:jc w:val="both"/>
        <w:ind w:left="48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its initial public offering, the Company adopted the 2015 equity incentive plan (the “2015 Plan”) pursuant to which the Company’s Board of Directors may grant stock options, restricted shares or other awards to employees, directors, and consultants. The 2015 Plan allowed for the issuance of up to 5,250,000 shares. Awards were made pursuant to agreements and are subject to vesting and other restrictions as determined by the Board of Directors or the Compensation Committee of the Board. The Company uses authorized and unissued shares to satisfy share award exercises. After adoption of the 2025 Plan as described below, no additional equity grants were made under the 2015 Plan, although equity grants made under the 2015 Plan will continue to be governed by the 2015 Plan.</w:t>
      </w:r>
    </w:p>
    <w:p>
      <w:pPr>
        <w:spacing w:after="0" w:line="186" w:lineRule="exact"/>
        <w:rPr>
          <w:rFonts w:ascii="Times New Roman" w:cs="Times New Roman" w:eastAsia="Times New Roman" w:hAnsi="Times New Roman"/>
          <w:sz w:val="18"/>
          <w:szCs w:val="18"/>
          <w:b w:val="1"/>
          <w:bCs w:val="1"/>
          <w:color w:val="auto"/>
        </w:rPr>
      </w:pPr>
    </w:p>
    <w:p>
      <w:pPr>
        <w:jc w:val="both"/>
        <w:ind w:left="4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12, 2025, upon stockholder approval of the same at the Company’s annual meeting, the Company adopted a new 2025 Equity Incentive Plan (the “2025 Plan”). Pursuant to the 2025 Plan, the Company’s Board of Directors may grant stock options, restricted shares, restricted stock units, or other awards to officers, directors, key employees, and professional service providers, pursuant to agreements and subject to vesting and other restrictions as determined by the Board of Directors.</w:t>
      </w:r>
    </w:p>
    <w:p>
      <w:pPr>
        <w:spacing w:after="0" w:line="184" w:lineRule="exact"/>
        <w:rPr>
          <w:rFonts w:ascii="Times New Roman" w:cs="Times New Roman" w:eastAsia="Times New Roman" w:hAnsi="Times New Roman"/>
          <w:sz w:val="18"/>
          <w:szCs w:val="18"/>
          <w:b w:val="1"/>
          <w:bCs w:val="1"/>
          <w:color w:val="auto"/>
        </w:rPr>
      </w:pPr>
    </w:p>
    <w:p>
      <w:pPr>
        <w:ind w:left="480" w:right="4560"/>
        <w:spacing w:after="0" w:line="48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 of May 2, 2026, there were 4,650,088 shares available for grant under the 2025 Plan. </w:t>
      </w:r>
      <w:r>
        <w:rPr>
          <w:rFonts w:ascii="Times New Roman" w:cs="Times New Roman" w:eastAsia="Times New Roman" w:hAnsi="Times New Roman"/>
          <w:sz w:val="18"/>
          <w:szCs w:val="18"/>
          <w:i w:val="1"/>
          <w:iCs w:val="1"/>
          <w:u w:val="single" w:color="auto"/>
          <w:color w:val="auto"/>
        </w:rPr>
        <w:t>Stock Options</w:t>
      </w:r>
    </w:p>
    <w:p>
      <w:pPr>
        <w:spacing w:after="0" w:line="1" w:lineRule="exact"/>
        <w:rPr>
          <w:rFonts w:ascii="Times New Roman" w:cs="Times New Roman" w:eastAsia="Times New Roman" w:hAnsi="Times New Roman"/>
          <w:sz w:val="18"/>
          <w:szCs w:val="18"/>
          <w:b w:val="1"/>
          <w:bCs w:val="1"/>
          <w:color w:val="auto"/>
        </w:rPr>
      </w:pPr>
    </w:p>
    <w:p>
      <w:pPr>
        <w:jc w:val="both"/>
        <w:ind w:left="4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exercise price for stock options is determined at the fair value of the underlying stock on the date of grant. The vesting period for awards granted is generally set at four years (25% ratably per year). Awards are subject to employment for vesting, expire 10 years from the date of grant, and are not transferable other than upon death.</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 2026 and May 3,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57"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9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summary of the Company’s stock option activity and related information for the thirteen weeks ended May 2, 2026 follows: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2"/>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remaining</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240" w:type="dxa"/>
            <w:vAlign w:val="bottom"/>
            <w:gridSpan w:val="2"/>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exercise</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contractual</w:t>
            </w:r>
          </w:p>
        </w:tc>
        <w:tc>
          <w:tcPr>
            <w:tcW w:w="10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options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10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(in thousands,</w:t>
            </w:r>
          </w:p>
        </w:tc>
        <w:tc>
          <w:tcPr>
            <w:tcW w:w="25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w w:val="95"/>
              </w:rPr>
              <w:t>except share and per share amounts)</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31, 2026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594,421</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68.42</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93.23</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80.83</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46.52</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May 2, 2026</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703,450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73.09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Exercisable at May 2, 2026</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406,559</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60.99</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ind w:left="480"/>
        <w:spacing w:after="0" w:line="256" w:lineRule="auto"/>
        <w:rPr>
          <w:sz w:val="20"/>
          <w:szCs w:val="20"/>
          <w:color w:val="auto"/>
        </w:rPr>
      </w:pPr>
      <w:r>
        <w:rPr>
          <w:rFonts w:ascii="Times New Roman" w:cs="Times New Roman" w:eastAsia="Times New Roman" w:hAnsi="Times New Roman"/>
          <w:sz w:val="18"/>
          <w:szCs w:val="18"/>
          <w:color w:val="auto"/>
        </w:rPr>
        <w:t>The weighted average grant date fair value per option for options granted during the thirteen weeks ended May 2, 2026 and May 3, 2025 was $40.88 and $53.80, respectively. The fair value of each option award is estimated on the date of grant using the Black-Scholes option-pricing model that used the weighted average assumptions in the following table:</w:t>
      </w:r>
    </w:p>
    <w:p>
      <w:pPr>
        <w:spacing w:after="0" w:line="179"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256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90"/>
        </w:trPr>
        <w:tc>
          <w:tcPr>
            <w:tcW w:w="2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540"/>
              <w:spacing w:after="0" w:line="190" w:lineRule="exact"/>
              <w:rPr>
                <w:sz w:val="20"/>
                <w:szCs w:val="20"/>
                <w:color w:val="auto"/>
              </w:rPr>
            </w:pPr>
            <w:r>
              <w:rPr>
                <w:rFonts w:ascii="Times New Roman" w:cs="Times New Roman" w:eastAsia="Times New Roman" w:hAnsi="Times New Roman"/>
                <w:sz w:val="18"/>
                <w:szCs w:val="18"/>
                <w:b w:val="1"/>
                <w:bCs w:val="1"/>
                <w:color w:val="auto"/>
              </w:rPr>
              <w:t>May 2,</w:t>
            </w:r>
          </w:p>
        </w:tc>
        <w:tc>
          <w:tcPr>
            <w:tcW w:w="1060" w:type="dxa"/>
            <w:vAlign w:val="bottom"/>
            <w:tcBorders>
              <w:top w:val="single" w:sz="8" w:color="auto"/>
            </w:tcBorders>
          </w:tcPr>
          <w:p>
            <w:pPr>
              <w:jc w:val="right"/>
              <w:ind w:right="192"/>
              <w:spacing w:after="0" w:line="190" w:lineRule="exact"/>
              <w:rPr>
                <w:sz w:val="20"/>
                <w:szCs w:val="20"/>
                <w:color w:val="auto"/>
              </w:rPr>
            </w:pPr>
            <w:r>
              <w:rPr>
                <w:rFonts w:ascii="Times New Roman" w:cs="Times New Roman" w:eastAsia="Times New Roman" w:hAnsi="Times New Roman"/>
                <w:sz w:val="18"/>
                <w:szCs w:val="18"/>
                <w:b w:val="1"/>
                <w:bCs w:val="1"/>
                <w:color w:val="auto"/>
              </w:rPr>
              <w:t>May 3,</w:t>
            </w:r>
          </w:p>
        </w:tc>
        <w:tc>
          <w:tcPr>
            <w:tcW w:w="16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10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11"/>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5.05 years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5.32 years</w:t>
            </w:r>
          </w:p>
        </w:tc>
      </w:tr>
      <w:tr>
        <w:trPr>
          <w:trHeight w:val="228"/>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48.20%</w:t>
            </w:r>
          </w:p>
        </w:tc>
      </w:tr>
    </w:tbl>
    <w:p>
      <w:pPr>
        <w:spacing w:after="0" w:line="175" w:lineRule="exact"/>
        <w:rPr>
          <w:sz w:val="20"/>
          <w:szCs w:val="20"/>
          <w:color w:val="auto"/>
        </w:rPr>
      </w:pPr>
    </w:p>
    <w:p>
      <w:pPr>
        <w:jc w:val="both"/>
        <w:ind w:left="480"/>
        <w:spacing w:after="0" w:line="252" w:lineRule="auto"/>
        <w:rPr>
          <w:sz w:val="20"/>
          <w:szCs w:val="20"/>
          <w:color w:val="auto"/>
        </w:rPr>
      </w:pPr>
      <w:r>
        <w:rPr>
          <w:rFonts w:ascii="Times New Roman" w:cs="Times New Roman" w:eastAsia="Times New Roman" w:hAnsi="Times New Roman"/>
          <w:sz w:val="18"/>
          <w:szCs w:val="18"/>
          <w:color w:val="auto"/>
        </w:rPr>
        <w:t>To estimate the expected life of stock options, the Company uses its historical information to develop reasonable expectation about future exercise patterns and post-vesting employment termination behavior for its stock option grants. For expected volatility, the Company uses its historical information over the expected life of the option granted to calculate the fair value of option grants. The risk-free interest rate is based on U.S. Treasury notes with a term approximating the expected life of the option.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 2026 and May 3,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17" w:lineRule="exact"/>
        <w:rPr>
          <w:sz w:val="20"/>
          <w:szCs w:val="20"/>
          <w:color w:val="auto"/>
        </w:rPr>
      </w:pPr>
    </w:p>
    <w:p>
      <w:pPr>
        <w:jc w:val="both"/>
        <w:ind w:left="480"/>
        <w:spacing w:after="0" w:line="332" w:lineRule="auto"/>
        <w:rPr>
          <w:sz w:val="20"/>
          <w:szCs w:val="20"/>
          <w:color w:val="auto"/>
        </w:rPr>
      </w:pPr>
      <w:r>
        <w:rPr>
          <w:rFonts w:ascii="Times New Roman" w:cs="Times New Roman" w:eastAsia="Times New Roman" w:hAnsi="Times New Roman"/>
          <w:sz w:val="16"/>
          <w:szCs w:val="16"/>
          <w:color w:val="auto"/>
        </w:rPr>
        <w:t>Restricted stock units (“RSUs”) are issued at the closing price of the Company’s common stock on the date of grant. RSUs outstanding generally vest ratably over four years or cliff vest in one or four years. Awards are subject to employment for vesting and are not transferable other than upon death.</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the Company’s RSU activity and related information for the thirteen weeks ended May 2, 2026 is as follows:</w:t>
      </w:r>
    </w:p>
    <w:p>
      <w:pPr>
        <w:spacing w:after="0" w:line="213" w:lineRule="exact"/>
        <w:rPr>
          <w:sz w:val="20"/>
          <w:szCs w:val="20"/>
          <w:color w:val="auto"/>
        </w:rPr>
      </w:pPr>
    </w:p>
    <w:tbl>
      <w:tblPr>
        <w:tblLayout w:type="fixed"/>
        <w:tblInd w:w="48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18"/>
                <w:szCs w:val="18"/>
                <w:color w:val="auto"/>
              </w:rPr>
            </w:pPr>
          </w:p>
        </w:tc>
        <w:tc>
          <w:tcPr>
            <w:tcW w:w="96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10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20"/>
                <w:szCs w:val="20"/>
                <w:color w:val="auto"/>
              </w:rPr>
            </w:pPr>
          </w:p>
        </w:tc>
        <w:tc>
          <w:tcPr>
            <w:tcW w:w="96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fair value</w:t>
            </w:r>
          </w:p>
        </w:tc>
        <w:tc>
          <w:tcPr>
            <w:tcW w:w="10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January 31, 2026</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338,483</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1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(13,036)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00" w:type="dxa"/>
            <w:vAlign w:val="bottom"/>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(142,565)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100" w:type="dxa"/>
            <w:vAlign w:val="bottom"/>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8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May 2, 2026</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338,290</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 Expense</w:t>
      </w:r>
    </w:p>
    <w:p>
      <w:pPr>
        <w:spacing w:after="0" w:line="217" w:lineRule="exact"/>
        <w:rPr>
          <w:sz w:val="20"/>
          <w:szCs w:val="20"/>
          <w:color w:val="auto"/>
        </w:rPr>
      </w:pPr>
    </w:p>
    <w:p>
      <w:pPr>
        <w:jc w:val="both"/>
        <w:ind w:left="480"/>
        <w:spacing w:after="0" w:line="269" w:lineRule="auto"/>
        <w:rPr>
          <w:sz w:val="20"/>
          <w:szCs w:val="20"/>
          <w:color w:val="auto"/>
        </w:rPr>
      </w:pPr>
      <w:r>
        <w:rPr>
          <w:rFonts w:ascii="Times New Roman" w:cs="Times New Roman" w:eastAsia="Times New Roman" w:hAnsi="Times New Roman"/>
          <w:sz w:val="18"/>
          <w:szCs w:val="18"/>
          <w:color w:val="auto"/>
        </w:rPr>
        <w:t>The compensation cost for stock options and RSUs which have been recorded within selling, general, and administrative expenses related to the Company’s equity incentive plans was $3.4 million and $3.2 million for the thirteen weeks ended May 2, 2026 and May 3, 2025, respectively.</w:t>
      </w:r>
    </w:p>
    <w:p>
      <w:pPr>
        <w:spacing w:after="0" w:line="168" w:lineRule="exact"/>
        <w:rPr>
          <w:sz w:val="20"/>
          <w:szCs w:val="20"/>
          <w:color w:val="auto"/>
        </w:rPr>
      </w:pPr>
    </w:p>
    <w:p>
      <w:pPr>
        <w:jc w:val="both"/>
        <w:ind w:left="480"/>
        <w:spacing w:after="0" w:line="256" w:lineRule="auto"/>
        <w:rPr>
          <w:sz w:val="20"/>
          <w:szCs w:val="20"/>
          <w:color w:val="auto"/>
        </w:rPr>
      </w:pPr>
      <w:r>
        <w:rPr>
          <w:rFonts w:ascii="Times New Roman" w:cs="Times New Roman" w:eastAsia="Times New Roman" w:hAnsi="Times New Roman"/>
          <w:sz w:val="18"/>
          <w:szCs w:val="18"/>
          <w:color w:val="auto"/>
        </w:rPr>
        <w:t>As of May 2, 2026, there was $38.3 million of total unrecognized compensation cost related to non-vested stock-based compensation arrangements. That cost is expected to be recognized over a weighted average period of 3.1 years. Compensation costs related to awards are recognized using the straight-line method.</w:t>
      </w:r>
    </w:p>
    <w:p>
      <w:pPr>
        <w:spacing w:after="0" w:line="179" w:lineRule="exact"/>
        <w:rPr>
          <w:sz w:val="20"/>
          <w:szCs w:val="20"/>
          <w:color w:val="auto"/>
        </w:rPr>
      </w:pPr>
    </w:p>
    <w:p>
      <w:pPr>
        <w:ind w:left="480" w:right="9600" w:hanging="475"/>
        <w:spacing w:after="0" w:line="551" w:lineRule="auto"/>
        <w:tabs>
          <w:tab w:leader="none" w:pos="474"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Common Stock </w:t>
      </w:r>
      <w:r>
        <w:rPr>
          <w:rFonts w:ascii="Times New Roman" w:cs="Times New Roman" w:eastAsia="Times New Roman" w:hAnsi="Times New Roman"/>
          <w:sz w:val="16"/>
          <w:szCs w:val="16"/>
          <w:i w:val="1"/>
          <w:iCs w:val="1"/>
          <w:u w:val="single" w:color="auto"/>
          <w:color w:val="auto"/>
        </w:rPr>
        <w:t>Common Stock</w:t>
      </w:r>
    </w:p>
    <w:p>
      <w:pPr>
        <w:jc w:val="both"/>
        <w:ind w:left="480"/>
        <w:spacing w:after="0" w:line="3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capital structure consists of a single class of common stock with one vote per share. The Company has authorized 500,000,000 shares at $0.001 par value per share. Additionally, the Company has authorized 50,000,000 shares of preferred stock at $0.001 par value per share; to date, however, no preferred shares have been issued. Treasury stock, which consists of the Company’s common stock, is accounted for using the cost method.</w:t>
      </w:r>
    </w:p>
    <w:p>
      <w:pPr>
        <w:spacing w:after="0" w:line="144" w:lineRule="exact"/>
        <w:rPr>
          <w:rFonts w:ascii="Times New Roman" w:cs="Times New Roman" w:eastAsia="Times New Roman" w:hAnsi="Times New Roman"/>
          <w:sz w:val="16"/>
          <w:szCs w:val="16"/>
          <w:b w:val="1"/>
          <w:bCs w:val="1"/>
          <w:color w:val="auto"/>
        </w:rPr>
      </w:pPr>
    </w:p>
    <w:p>
      <w:pPr>
        <w:ind w:left="48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216" w:lineRule="exact"/>
        <w:rPr>
          <w:rFonts w:ascii="Times New Roman" w:cs="Times New Roman" w:eastAsia="Times New Roman" w:hAnsi="Times New Roman"/>
          <w:sz w:val="16"/>
          <w:szCs w:val="16"/>
          <w:b w:val="1"/>
          <w:bCs w:val="1"/>
          <w:color w:val="auto"/>
        </w:rPr>
      </w:pPr>
    </w:p>
    <w:p>
      <w:pPr>
        <w:jc w:val="both"/>
        <w:ind w:left="480"/>
        <w:spacing w:after="0" w:line="25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In December 2020, the Company’s Board of Directors authorized common stock repurchases under a share repurchase program. The authorized amount of the program, which has been increased from time to time, is authorized for up to $700.0 million of shares of the Company’s stock as of May 2, 2026. The share repurchase program is effective through March 31, 2029.</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 2026 and May 3,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57" w:lineRule="exact"/>
        <w:rPr>
          <w:sz w:val="20"/>
          <w:szCs w:val="20"/>
          <w:color w:val="auto"/>
        </w:rPr>
      </w:pPr>
    </w:p>
    <w:p>
      <w:pPr>
        <w:jc w:val="both"/>
        <w:ind w:left="480"/>
        <w:spacing w:after="0" w:line="247" w:lineRule="auto"/>
        <w:rPr>
          <w:sz w:val="20"/>
          <w:szCs w:val="20"/>
          <w:color w:val="auto"/>
        </w:rPr>
      </w:pPr>
      <w:r>
        <w:rPr>
          <w:rFonts w:ascii="Times New Roman" w:cs="Times New Roman" w:eastAsia="Times New Roman" w:hAnsi="Times New Roman"/>
          <w:sz w:val="18"/>
          <w:szCs w:val="18"/>
          <w:color w:val="auto"/>
        </w:rPr>
        <w:t>The shares to be repurchased may be purchased from time to time in open market conditions (including blocks), privately negotiated transactions, accelerated share repurchase programs or other derivative transactions, issuer self-tender offers, or any combination of the foregoing. The timing of repurchases and the actual amount purchased will depend on a variety of factors, including the market price of the Company’s shares, general market, economic and business conditions, and other corporate considerations. Repurchases may be made pursuant to plans intended to comply with Rule 10b5-1 under the Securities Exchange Act of 1934, which could allow the Company to purchase its shares during periods when it otherwise might be prevented from doing so under insider trading laws or because of self-imposed trading blackout periods. Repurchases are expected to be funded from cash on hand or through the utilization of the Company’s Revolving Credit Facility. The repurchase authorization does not require the purchase of a specific number of shares and is subject to suspension or termination by the Company’s Board of Directors at any time.</w:t>
      </w:r>
    </w:p>
    <w:p>
      <w:pPr>
        <w:spacing w:after="0" w:line="193"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18"/>
          <w:szCs w:val="18"/>
          <w:color w:val="auto"/>
        </w:rPr>
        <w:t>During the thirteen weeks ended May 2, 2026, the Company repurchased 542,486 shares of its common stock for $53.4 million, inclusive of transaction costs, pursuant to its share repurchase program. During the thirteen weeks ended May 3, 2025, the Company repurchased 159,757 shares of its common stock for $17.1 million, inclusive of transaction costs, pursuant to its share repurchase program. These expenditures were funded by cash generated from operations. As of May 2, 2026, the Company had $205.4 million remaining under its share repurchase authorization. There can be no assurance that any additional repurchases will be completed, or as to the timing or amount of any repurchases. The share repurchase program may be discontinued at any time.</w:t>
      </w:r>
    </w:p>
    <w:p>
      <w:pPr>
        <w:spacing w:after="0" w:line="185" w:lineRule="exact"/>
        <w:rPr>
          <w:sz w:val="20"/>
          <w:szCs w:val="20"/>
          <w:color w:val="auto"/>
        </w:rPr>
      </w:pPr>
    </w:p>
    <w:p>
      <w:pPr>
        <w:ind w:left="480" w:hanging="475"/>
        <w:spacing w:after="0"/>
        <w:tabs>
          <w:tab w:leader="none" w:pos="4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 and Entity-Wide Information</w:t>
      </w:r>
    </w:p>
    <w:p>
      <w:pPr>
        <w:spacing w:after="0" w:line="216" w:lineRule="exact"/>
        <w:rPr>
          <w:rFonts w:ascii="Times New Roman" w:cs="Times New Roman" w:eastAsia="Times New Roman" w:hAnsi="Times New Roman"/>
          <w:sz w:val="18"/>
          <w:szCs w:val="18"/>
          <w:b w:val="1"/>
          <w:bCs w:val="1"/>
          <w:color w:val="auto"/>
        </w:rPr>
      </w:pPr>
    </w:p>
    <w:p>
      <w:pPr>
        <w:jc w:val="both"/>
        <w:ind w:left="480"/>
        <w:spacing w:after="0" w:line="30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For purposes of the disclosure requirements for segments of a business enterprise, it has been determined that the Company is comprised of one operating segment and one reportable segment. The Company’s chief operating decision maker (the “CODM”) is the Chief Executive Officer. The CODM regularly reviews operations and financial performance at a consolidated level, for purposes of assessing performance and allocating resources.</w:t>
      </w:r>
    </w:p>
    <w:p>
      <w:pPr>
        <w:spacing w:after="0" w:line="146" w:lineRule="exact"/>
        <w:rPr>
          <w:rFonts w:ascii="Times New Roman" w:cs="Times New Roman" w:eastAsia="Times New Roman" w:hAnsi="Times New Roman"/>
          <w:sz w:val="18"/>
          <w:szCs w:val="18"/>
          <w:b w:val="1"/>
          <w:bCs w:val="1"/>
          <w:color w:val="auto"/>
        </w:rPr>
      </w:pPr>
    </w:p>
    <w:p>
      <w:pPr>
        <w:jc w:val="both"/>
        <w:ind w:left="4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CODM uses net income to allocate resources for the single segment to make decisions regarding annual budget, new store openings, landlord and vendor negotiations, marketing decisions, pursuing new business ventures, and driving the Company’s values. The CODM reviews asset information on a consolidated basis.</w:t>
      </w:r>
    </w:p>
    <w:p>
      <w:pPr>
        <w:spacing w:after="0" w:line="180"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percentage of net sales by each product group for each period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0"/>
        </w:trPr>
        <w:tc>
          <w:tcPr>
            <w:tcW w:w="4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3"/>
          </w:tcPr>
          <w:p>
            <w:pPr>
              <w:jc w:val="center"/>
              <w:ind w:left="392"/>
              <w:spacing w:after="0" w:line="190" w:lineRule="exact"/>
              <w:rPr>
                <w:sz w:val="20"/>
                <w:szCs w:val="20"/>
                <w:color w:val="auto"/>
              </w:rPr>
            </w:pPr>
            <w:r>
              <w:rPr>
                <w:rFonts w:ascii="Times New Roman" w:cs="Times New Roman" w:eastAsia="Times New Roman" w:hAnsi="Times New Roman"/>
                <w:sz w:val="18"/>
                <w:szCs w:val="18"/>
                <w:b w:val="1"/>
                <w:bCs w:val="1"/>
                <w:color w:val="auto"/>
                <w:w w:val="98"/>
              </w:rPr>
              <w:t>May 2,</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gridSpan w:val="3"/>
          </w:tcPr>
          <w:p>
            <w:pPr>
              <w:jc w:val="center"/>
              <w:ind w:left="112"/>
              <w:spacing w:after="0" w:line="190"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4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1"/>
        </w:trPr>
        <w:tc>
          <w:tcPr>
            <w:tcW w:w="4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79"/>
              </w:rPr>
              <w:t>thousands)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48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Consumables</w:t>
            </w:r>
          </w:p>
        </w:tc>
        <w:tc>
          <w:tcPr>
            <w:tcW w:w="30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5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188,910</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11"/>
        </w:trPr>
        <w:tc>
          <w:tcPr>
            <w:tcW w:w="4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Home</w:t>
            </w: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172,672</w:t>
            </w: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11"/>
        </w:trPr>
        <w:tc>
          <w:tcPr>
            <w:tcW w:w="48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Seasonal</w:t>
            </w:r>
          </w:p>
        </w:tc>
        <w:tc>
          <w:tcPr>
            <w:tcW w:w="2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118,004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102,483</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1"/>
        </w:trPr>
        <w:tc>
          <w:tcPr>
            <w:tcW w:w="4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112,702</w:t>
            </w: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6"/>
        </w:trPr>
        <w:tc>
          <w:tcPr>
            <w:tcW w:w="4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1"/>
        </w:trPr>
        <w:tc>
          <w:tcPr>
            <w:tcW w:w="480" w:type="dxa"/>
            <w:vAlign w:val="bottom"/>
          </w:tcPr>
          <w:p>
            <w:pPr>
              <w:spacing w:after="0"/>
              <w:rPr>
                <w:sz w:val="21"/>
                <w:szCs w:val="21"/>
                <w:color w:val="auto"/>
              </w:rPr>
            </w:pPr>
          </w:p>
        </w:tc>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658,928</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576,767</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548"/>
        </w:trPr>
        <w:tc>
          <w:tcPr>
            <w:tcW w:w="480" w:type="dxa"/>
            <w:vAlign w:val="bottom"/>
          </w:tcPr>
          <w:p>
            <w:pPr>
              <w:spacing w:after="0"/>
              <w:rPr>
                <w:sz w:val="24"/>
                <w:szCs w:val="24"/>
                <w:color w:val="auto"/>
              </w:rPr>
            </w:pPr>
          </w:p>
        </w:tc>
        <w:tc>
          <w:tcPr>
            <w:tcW w:w="3000" w:type="dxa"/>
            <w:vAlign w:val="bottom"/>
            <w:tcBorders>
              <w:top w:val="single" w:sz="8" w:color="CCEEFF"/>
            </w:tcBorders>
          </w:tcPr>
          <w:p>
            <w:pPr>
              <w:spacing w:after="0"/>
              <w:rPr>
                <w:sz w:val="24"/>
                <w:szCs w:val="24"/>
                <w:color w:val="auto"/>
              </w:rPr>
            </w:pPr>
          </w:p>
        </w:tc>
        <w:tc>
          <w:tcPr>
            <w:tcW w:w="2760" w:type="dxa"/>
            <w:vAlign w:val="bottom"/>
            <w:tcBorders>
              <w:top w:val="single" w:sz="8" w:color="CCEEFF"/>
            </w:tcBorders>
          </w:tcPr>
          <w:p>
            <w:pPr>
              <w:jc w:val="right"/>
              <w:ind w:right="461"/>
              <w:spacing w:after="0"/>
              <w:rPr>
                <w:sz w:val="20"/>
                <w:szCs w:val="20"/>
                <w:color w:val="auto"/>
              </w:rPr>
            </w:pPr>
            <w:r>
              <w:rPr>
                <w:rFonts w:ascii="Times New Roman" w:cs="Times New Roman" w:eastAsia="Times New Roman" w:hAnsi="Times New Roman"/>
                <w:sz w:val="14"/>
                <w:szCs w:val="14"/>
                <w:color w:val="auto"/>
              </w:rPr>
              <w:t>16</w:t>
            </w: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3"/>
        </w:trPr>
        <w:tc>
          <w:tcPr>
            <w:tcW w:w="48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 2026 and May 3,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single segment net sales, net income, and significant expenses are as follows for the thirteen weeks ended May 2, 2026 and May 3, 2025:</w:t>
      </w:r>
    </w:p>
    <w:p>
      <w:pPr>
        <w:spacing w:after="0" w:line="213" w:lineRule="exact"/>
        <w:rPr>
          <w:sz w:val="20"/>
          <w:szCs w:val="20"/>
          <w:color w:val="auto"/>
        </w:rPr>
      </w:pPr>
    </w:p>
    <w:tbl>
      <w:tblPr>
        <w:tblLayout w:type="fixed"/>
        <w:tblInd w:w="48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1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May 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 other</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112,522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Occupancy</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5"/>
                <w:szCs w:val="15"/>
                <w:color w:val="auto"/>
              </w:rPr>
              <w:t>Advertising expenses</w:t>
            </w:r>
            <w:r>
              <w:rPr>
                <w:rFonts w:ascii="Times New Roman" w:cs="Times New Roman" w:eastAsia="Times New Roman" w:hAnsi="Times New Roman"/>
                <w:sz w:val="24"/>
                <w:szCs w:val="24"/>
                <w:color w:val="auto"/>
                <w:vertAlign w:val="superscript"/>
              </w:rPr>
              <w:t>(1)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15,716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tcPr>
          <w:p>
            <w:pPr>
              <w:spacing w:after="0" w:line="211" w:lineRule="exact"/>
              <w:rPr>
                <w:sz w:val="20"/>
                <w:szCs w:val="20"/>
                <w:color w:val="auto"/>
              </w:rPr>
            </w:pPr>
            <w:r>
              <w:rPr>
                <w:rFonts w:ascii="Times New Roman" w:cs="Times New Roman" w:eastAsia="Times New Roman" w:hAnsi="Times New Roman"/>
                <w:sz w:val="15"/>
                <w:szCs w:val="15"/>
                <w:color w:val="auto"/>
              </w:rPr>
              <w:t>Depreciation and amortization expenses</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Pre-opening expenses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(4,966)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840" w:hanging="360"/>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reported in operating expenses excludes advertising expenses recorded in pre-opening.</w:t>
      </w:r>
    </w:p>
    <w:p>
      <w:pPr>
        <w:spacing w:after="0" w:line="21" w:lineRule="exact"/>
        <w:rPr>
          <w:rFonts w:ascii="Times New Roman" w:cs="Times New Roman" w:eastAsia="Times New Roman" w:hAnsi="Times New Roman"/>
          <w:sz w:val="18"/>
          <w:szCs w:val="18"/>
          <w:color w:val="auto"/>
        </w:rPr>
      </w:pPr>
    </w:p>
    <w:p>
      <w:pPr>
        <w:ind w:left="840" w:hanging="360"/>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reported in operating expenses excludes depreciation and amortization recorded in cost of sales.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15"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our operations should be read together with the financial statements and related notes of Ollie’s Bargain Outlet Holdings, Inc. included in Item 1 of this Quarterly Report on Form 10-Q and with our audited financial statements and the related notes included in our Annual Report on Form 10-K for the fiscal year ended January 31, 2026, filed with the Securities and Exchange Commission, or SEC, on March 19, 2026 (“Annual Report”). As used in this Quarterly Report on Form 10-Q, except where the context otherwise requires or where otherwise indicated, the terms “Ollie’s,” the “Company,” “we,” “our,” and “us” refer to Ollie’s Bargain Outlet Holdings, Inc. and subsidiaries.</w:t>
      </w:r>
    </w:p>
    <w:p>
      <w:pPr>
        <w:spacing w:after="0" w:line="187" w:lineRule="exact"/>
        <w:rPr>
          <w:sz w:val="20"/>
          <w:szCs w:val="20"/>
          <w:color w:val="auto"/>
        </w:rPr>
      </w:pPr>
    </w:p>
    <w:p>
      <w:pPr>
        <w:jc w:val="both"/>
        <w:ind w:left="480"/>
        <w:spacing w:after="0" w:line="225" w:lineRule="auto"/>
        <w:rPr>
          <w:sz w:val="20"/>
          <w:szCs w:val="20"/>
          <w:color w:val="auto"/>
        </w:rPr>
      </w:pPr>
      <w:r>
        <w:rPr>
          <w:rFonts w:ascii="Times New Roman" w:cs="Times New Roman" w:eastAsia="Times New Roman" w:hAnsi="Times New Roman"/>
          <w:sz w:val="18"/>
          <w:szCs w:val="18"/>
          <w:i w:val="1"/>
          <w:iCs w:val="1"/>
          <w:color w:val="auto"/>
        </w:rPr>
        <w:t>We operate on a fiscal calendar widely used by the retail industry that results in a fiscal year consisting of a 52- or 53-week period ending on the Saturday nearer to January 31</w:t>
      </w:r>
      <w:r>
        <w:rPr>
          <w:rFonts w:ascii="Times New Roman" w:cs="Times New Roman" w:eastAsia="Times New Roman" w:hAnsi="Times New Roman"/>
          <w:sz w:val="29"/>
          <w:szCs w:val="29"/>
          <w:i w:val="1"/>
          <w:iCs w:val="1"/>
          <w:color w:val="auto"/>
          <w:vertAlign w:val="superscript"/>
        </w:rPr>
        <w:t>st</w:t>
      </w:r>
      <w:r>
        <w:rPr>
          <w:rFonts w:ascii="Times New Roman" w:cs="Times New Roman" w:eastAsia="Times New Roman" w:hAnsi="Times New Roman"/>
          <w:sz w:val="18"/>
          <w:szCs w:val="18"/>
          <w:i w:val="1"/>
          <w:iCs w:val="1"/>
          <w:color w:val="auto"/>
        </w:rPr>
        <w:t xml:space="preserve"> of the following year. References to “fiscal year 2026” or “fiscal 2026” refer to the 52-week period of February 1, 2026 to January 30, 2027. References to “fiscal year 2025” or “fiscal 2025” refer to the 52-week period of February 2, 2025 to January 31, 2026. References to the “first quarter of fiscal 2026” and the “first quarter of fiscal 2025” refer to the thirteen weeks of February 1, 2026 to May 2, 2026 and February 2, 2025 to May 3, 2025, respectively. Historical results are not necessarily indicative of the results to be expected for any future period and results for any interim period may not necessarily be indicative of the results that may be expected for a full year.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7" w:lineRule="exact"/>
        <w:rPr>
          <w:sz w:val="20"/>
          <w:szCs w:val="20"/>
          <w:color w:val="auto"/>
        </w:rPr>
      </w:pPr>
    </w:p>
    <w:p>
      <w:pPr>
        <w:jc w:val="both"/>
        <w:ind w:left="480"/>
        <w:spacing w:after="0" w:line="277" w:lineRule="auto"/>
        <w:rPr>
          <w:sz w:val="20"/>
          <w:szCs w:val="20"/>
          <w:color w:val="auto"/>
        </w:rPr>
      </w:pPr>
      <w:r>
        <w:rPr>
          <w:rFonts w:ascii="Times New Roman" w:cs="Times New Roman" w:eastAsia="Times New Roman" w:hAnsi="Times New Roman"/>
          <w:sz w:val="16"/>
          <w:szCs w:val="16"/>
          <w:color w:val="auto"/>
        </w:rPr>
        <w:t>This Quarterly Report on Form 10-Q contains forward-looking statements within the meaning of the U.S. Private Securities Litigation Reform Act of 1995. Forward-looking statements can be identified by words such as “could,” “may,” “might,” “will,” “likely,” “anticipates,” “intends,” “plans,” “seeks,” “believes,” “estimates,” “expects,” “continues,” “projects,” and similar references to future periods, prospects, financial performance, and industry outlook. Forward-looking statements are based on our current expectations and assumptions regarding our business, capital market conditions,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including, but not limited to, supply chain challenges, legislation, national trade policy, and the following: our failure to adequately procure and manage our inventory, anticipate consumer demand, or achieve favorable product margins; changes in consumer confidence and spending; risks associated with our status as a “brick and mortar” only retailer; risks associated with intense competition; our failure to open new profitable stores, or successfully enter new markets, on a timely basis or at all; fluctuations in comparable store sales and results of operations, including on a quarterly basis; factors such as inflation, cost increases, and energy prices; the risks associated with doing business with international manufacturers and suppliers including, but not limited to, potential increases or changes in tariffs on imported goods; our inability to operate our stores due to civil unrest and related protests or disturbances; our failure to properly hire and to retain key personnel and other qualified personnel; changes in market levels of wages; risks associated with cybersecurity events, and the timely and effective deployment, protection, and defense of computer networks and other electronic systems, including e-mail; our inability to obtain favorable lease terms for our properties; the failure to timely acquire, develop, open and operate, or the loss of, disruption or interruption in the operations of, any of our centralized distribution centers; risks associated with our lack of operations in the growing online retail marketplace; risks associated with litigation, the expense of defense, and potential for adverse outcomes; our inability to successfully develop or implement our marketing, advertising, and promotional efforts; the seasonal nature of our business; risks associated with natural disasters, whether or not caused by climate change; outbreak of viruses, global health epidemics, pandemics, or widespread illness; changes in government regulations, procedures, and requirements; and our ability to service indebtedness and to comply with our financial covenants together with each of the other factors set forth under “Item 1A – Risk Factors” contained herein and in our filings with the SEC, including our Annual Report. Any forward-looking statement made by us in this Quarterly Report on Form 10-Q speaks only as of the date on which such statement is made.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You are advised, however, to consult any further disclosures we make on related subjects in our public announcements and SEC filings.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7" w:lineRule="exact"/>
        <w:rPr>
          <w:sz w:val="20"/>
          <w:szCs w:val="20"/>
          <w:color w:val="auto"/>
        </w:rPr>
      </w:pPr>
    </w:p>
    <w:p>
      <w:pPr>
        <w:jc w:val="both"/>
        <w:ind w:left="480"/>
        <w:spacing w:after="0" w:line="252" w:lineRule="auto"/>
        <w:rPr>
          <w:sz w:val="20"/>
          <w:szCs w:val="20"/>
          <w:color w:val="auto"/>
        </w:rPr>
      </w:pPr>
      <w:r>
        <w:rPr>
          <w:rFonts w:ascii="Times New Roman" w:cs="Times New Roman" w:eastAsia="Times New Roman" w:hAnsi="Times New Roman"/>
          <w:sz w:val="18"/>
          <w:szCs w:val="18"/>
          <w:color w:val="auto"/>
        </w:rPr>
        <w:t>Ollie’s Bargain Outlet is a leading off-price retailer of brand name household products. Since our founding in 1982, the Company’s mission has been to sell Good Stuff Cheap®. We do this through a flexible buying model that focuses on closeout merchandise and excess inventory from suppliers and manufacturers around the world. Our stores offer Real Brands! Real Bargains! ® in a treasure hunt shopping environment at prices up to 70% below traditional retailers.</w:t>
      </w:r>
    </w:p>
    <w:p>
      <w:pPr>
        <w:spacing w:after="0" w:line="185" w:lineRule="exact"/>
        <w:rPr>
          <w:sz w:val="20"/>
          <w:szCs w:val="20"/>
          <w:color w:val="auto"/>
        </w:rPr>
      </w:pPr>
    </w:p>
    <w:p>
      <w:pPr>
        <w:jc w:val="both"/>
        <w:ind w:left="480"/>
        <w:spacing w:after="0" w:line="252" w:lineRule="auto"/>
        <w:rPr>
          <w:sz w:val="20"/>
          <w:szCs w:val="20"/>
          <w:color w:val="auto"/>
        </w:rPr>
      </w:pPr>
      <w:r>
        <w:rPr>
          <w:rFonts w:ascii="Times New Roman" w:cs="Times New Roman" w:eastAsia="Times New Roman" w:hAnsi="Times New Roman"/>
          <w:sz w:val="18"/>
          <w:szCs w:val="18"/>
          <w:color w:val="auto"/>
        </w:rPr>
        <w:t>Our highly experienced merchandise team is constantly scouring the market and leveraging deep, long-standing relationships across the supply chain to find the best products at the best prices. We focus on buying cheap and selling cheap, and source products as unique buying opportunities present themselves. While the individual products sold in our stores are constantly changing, our overall merchandise mix is designed to save people money on a wide variety of brand name household products that they need and use in their everyday lives.</w:t>
      </w:r>
    </w:p>
    <w:p>
      <w:pPr>
        <w:spacing w:after="0" w:line="185" w:lineRule="exact"/>
        <w:rPr>
          <w:sz w:val="20"/>
          <w:szCs w:val="20"/>
          <w:color w:val="auto"/>
        </w:rPr>
      </w:pPr>
    </w:p>
    <w:p>
      <w:pPr>
        <w:jc w:val="both"/>
        <w:ind w:left="480"/>
        <w:spacing w:after="0" w:line="252" w:lineRule="auto"/>
        <w:rPr>
          <w:sz w:val="20"/>
          <w:szCs w:val="20"/>
          <w:color w:val="auto"/>
        </w:rPr>
      </w:pPr>
      <w:r>
        <w:rPr>
          <w:rFonts w:ascii="Times New Roman" w:cs="Times New Roman" w:eastAsia="Times New Roman" w:hAnsi="Times New Roman"/>
          <w:sz w:val="18"/>
          <w:szCs w:val="18"/>
          <w:color w:val="auto"/>
        </w:rPr>
        <w:t>Our primary point of differentiation against other retailers is the pricing of our products. Our goal is to be the lowest priced retailer of any product offered by our stores. We believe our flexible business model, opportunistic buying strategy, low cost structure, experienced merchant team with deep relationships across the vendor community, and long history of experience of buying and selling closeout merchandise and excess inventory differentiates us from traditional retailers.</w:t>
      </w:r>
    </w:p>
    <w:p>
      <w:pPr>
        <w:spacing w:after="0" w:line="185" w:lineRule="exact"/>
        <w:rPr>
          <w:sz w:val="20"/>
          <w:szCs w:val="20"/>
          <w:color w:val="auto"/>
        </w:rPr>
      </w:pPr>
    </w:p>
    <w:p>
      <w:pPr>
        <w:jc w:val="both"/>
        <w:ind w:left="480"/>
        <w:spacing w:after="0" w:line="250" w:lineRule="auto"/>
        <w:rPr>
          <w:sz w:val="20"/>
          <w:szCs w:val="20"/>
          <w:color w:val="auto"/>
        </w:rPr>
      </w:pPr>
      <w:r>
        <w:rPr>
          <w:rFonts w:ascii="Times New Roman" w:cs="Times New Roman" w:eastAsia="Times New Roman" w:hAnsi="Times New Roman"/>
          <w:sz w:val="18"/>
          <w:szCs w:val="18"/>
          <w:color w:val="auto"/>
        </w:rPr>
        <w:t>Since the founding of Ollie’s in 1982, our principal growth strategy has been the opening of new stores. Historically, we have expanded our store base by opening new stores organically. More recently, we have expanded our store base through acquiring former store locations of bankrupt retailers through the bankruptcy auction process. Our growth strategy continuously evaluates the best opportunities in the marketplace and combines organic new store openings with the acquisition of store locations. We follow a contiguous unit growth strategy that combines backfilling existing markets and states with entering new markets and states in a contiguous manner. As of May 2, 2026 we have grown to 672 stores in 35 states.</w:t>
      </w:r>
    </w:p>
    <w:p>
      <w:pPr>
        <w:spacing w:after="0" w:line="187" w:lineRule="exact"/>
        <w:rPr>
          <w:sz w:val="20"/>
          <w:szCs w:val="20"/>
          <w:color w:val="auto"/>
        </w:rPr>
      </w:pPr>
    </w:p>
    <w:p>
      <w:pPr>
        <w:jc w:val="both"/>
        <w:ind w:left="480"/>
        <w:spacing w:after="0" w:line="256" w:lineRule="auto"/>
        <w:rPr>
          <w:sz w:val="20"/>
          <w:szCs w:val="20"/>
          <w:color w:val="auto"/>
        </w:rPr>
      </w:pPr>
      <w:r>
        <w:rPr>
          <w:rFonts w:ascii="Times New Roman" w:cs="Times New Roman" w:eastAsia="Times New Roman" w:hAnsi="Times New Roman"/>
          <w:sz w:val="18"/>
          <w:szCs w:val="18"/>
          <w:color w:val="auto"/>
        </w:rPr>
        <w:t>While we are focused on driving comparable store sales and managing our expenses, the biggest driver of our net sales and profitability growth has historically been the opening of new stores. As we continue to grow, we believe we will have greater access to brand name closeout merchandise and an increased deal selection, resulting in more potential offerings for our customers.</w:t>
      </w:r>
    </w:p>
    <w:p>
      <w:pPr>
        <w:spacing w:after="0" w:line="181" w:lineRule="exact"/>
        <w:rPr>
          <w:sz w:val="20"/>
          <w:szCs w:val="20"/>
          <w:color w:val="auto"/>
        </w:rPr>
      </w:pPr>
    </w:p>
    <w:p>
      <w:pPr>
        <w:jc w:val="both"/>
        <w:ind w:left="480"/>
        <w:spacing w:after="0" w:line="286" w:lineRule="auto"/>
        <w:rPr>
          <w:sz w:val="20"/>
          <w:szCs w:val="20"/>
          <w:color w:val="auto"/>
        </w:rPr>
      </w:pPr>
      <w:r>
        <w:rPr>
          <w:rFonts w:ascii="Times New Roman" w:cs="Times New Roman" w:eastAsia="Times New Roman" w:hAnsi="Times New Roman"/>
          <w:sz w:val="16"/>
          <w:szCs w:val="16"/>
          <w:color w:val="auto"/>
        </w:rPr>
        <w:t>Our ability to grow and our results of operations may be impacted by additional factors and uncertainties, such as consumer spending levels, which are subject to macroeconomic conditions and changes in discretionary income. Our customers’ discretionary income is impacted by changes in wages, gasoline and energy prices, interest rates, inflation, housing prices, rental rates, and consumer trends and preferences. The potential consolidation of our competitors or other changes in our competitive landscape could also impact our results of operations or our ability to grow. However, because we offer a broad selection of merchandise at extreme values, we believe we are generally less impacted than other retailers by economic cycles that correspond with declines in general consumer spending habits. We believe we also benefit from periods of increased consumer spending.</w:t>
      </w:r>
    </w:p>
    <w:p>
      <w:pPr>
        <w:spacing w:after="0" w:line="160" w:lineRule="exact"/>
        <w:rPr>
          <w:sz w:val="20"/>
          <w:szCs w:val="20"/>
          <w:color w:val="auto"/>
        </w:rPr>
      </w:pPr>
    </w:p>
    <w:p>
      <w:pPr>
        <w:jc w:val="both"/>
        <w:ind w:left="480"/>
        <w:spacing w:after="0" w:line="332" w:lineRule="auto"/>
        <w:rPr>
          <w:sz w:val="20"/>
          <w:szCs w:val="20"/>
          <w:color w:val="auto"/>
        </w:rPr>
      </w:pPr>
      <w:r>
        <w:rPr>
          <w:rFonts w:ascii="Times New Roman" w:cs="Times New Roman" w:eastAsia="Times New Roman" w:hAnsi="Times New Roman"/>
          <w:sz w:val="16"/>
          <w:szCs w:val="16"/>
          <w:color w:val="auto"/>
        </w:rPr>
        <w:t>Management looks at a number of financial and operating measures in assessing the performance of the business, including new store openings, net sales, comparable store sales, gross profit and gross margin, operating expenses, operating income, earnings per share, EBITDA, and Adjusted EBITDA.</w:t>
      </w:r>
    </w:p>
    <w:p>
      <w:pPr>
        <w:spacing w:after="0" w:line="123" w:lineRule="exact"/>
        <w:rPr>
          <w:sz w:val="20"/>
          <w:szCs w:val="20"/>
          <w:color w:val="auto"/>
        </w:rPr>
      </w:pPr>
    </w:p>
    <w:p>
      <w:pPr>
        <w:jc w:val="both"/>
        <w:ind w:left="480"/>
        <w:spacing w:after="0" w:line="252" w:lineRule="auto"/>
        <w:rPr>
          <w:sz w:val="20"/>
          <w:szCs w:val="20"/>
          <w:color w:val="auto"/>
        </w:rPr>
      </w:pPr>
      <w:r>
        <w:rPr>
          <w:rFonts w:ascii="Times New Roman" w:cs="Times New Roman" w:eastAsia="Times New Roman" w:hAnsi="Times New Roman"/>
          <w:sz w:val="18"/>
          <w:szCs w:val="18"/>
          <w:color w:val="auto"/>
        </w:rPr>
        <w:t>The number of new stores reflects the number of stores opened during a particular reporting period. Before we open new stores, we incur pre-opening expenses described below under “Pre-Opening Expenses” and we make an initial investment in inventory. We also make initial capital investments in fixtures and equipment, which we amortize over time. Sales of new stores are typically strong in the first few months of operation because of the advertising and marketing spending associated with a new store grand opening and the word of mouth in the local community.</w:t>
      </w:r>
    </w:p>
    <w:p>
      <w:pPr>
        <w:spacing w:after="0" w:line="185"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18"/>
          <w:szCs w:val="18"/>
          <w:color w:val="auto"/>
        </w:rPr>
        <w:t>Comparable store sales measure performance of a store during the current reporting period against the performance of the same store in the corresponding period of the previous year. Comparable store sales consist of net sales from our stores beginning on the first day of the sixteenth full fiscal month following the store’s opening, which is when we believe comparability is achieved. Stores that remain open during a remodel or refresh process, stores that are relocated within the same trade area, and stores that changed in size are generally classified in the same way as the original store, and we believe that the impact to our change in consolidated comparable store sales percentage is immaterial. Comparable store sales are also referred to as “same-store” sales by other retail companies.</w:t>
      </w:r>
    </w:p>
    <w:p>
      <w:pPr>
        <w:spacing w:after="0" w:line="187" w:lineRule="exact"/>
        <w:rPr>
          <w:sz w:val="20"/>
          <w:szCs w:val="20"/>
          <w:color w:val="auto"/>
        </w:rPr>
      </w:pPr>
    </w:p>
    <w:p>
      <w:pPr>
        <w:jc w:val="both"/>
        <w:ind w:left="480"/>
        <w:spacing w:after="0" w:line="269" w:lineRule="auto"/>
        <w:rPr>
          <w:sz w:val="20"/>
          <w:szCs w:val="20"/>
          <w:color w:val="auto"/>
        </w:rPr>
      </w:pPr>
      <w:r>
        <w:rPr>
          <w:rFonts w:ascii="Times New Roman" w:cs="Times New Roman" w:eastAsia="Times New Roman" w:hAnsi="Times New Roman"/>
          <w:sz w:val="18"/>
          <w:szCs w:val="18"/>
          <w:color w:val="auto"/>
        </w:rPr>
        <w:t>Gross profit is equal to our net sales less our cost of sales. Included in cost of sales are: merchandise costs, inventory markdowns, inventory shrinkage and transportation, distribution, and warehousing costs, including wages, benefits, and depreciation and amortization.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1" w:lineRule="exact"/>
        <w:rPr>
          <w:sz w:val="20"/>
          <w:szCs w:val="20"/>
          <w:color w:val="auto"/>
        </w:rPr>
      </w:pPr>
    </w:p>
    <w:p>
      <w:pPr>
        <w:jc w:val="both"/>
        <w:ind w:left="480"/>
        <w:spacing w:after="0" w:line="256" w:lineRule="auto"/>
        <w:rPr>
          <w:sz w:val="20"/>
          <w:szCs w:val="20"/>
          <w:color w:val="auto"/>
        </w:rPr>
      </w:pPr>
      <w:r>
        <w:rPr>
          <w:rFonts w:ascii="Times New Roman" w:cs="Times New Roman" w:eastAsia="Times New Roman" w:hAnsi="Times New Roman"/>
          <w:sz w:val="18"/>
          <w:szCs w:val="18"/>
          <w:color w:val="auto"/>
        </w:rPr>
        <w:t>SG&amp;A expenses are comprised of wages and benefits for store, field support, and support center associates. SG&amp;A expenses also include marketing and advertising expense, occupancy and operating costs for stores and the store support center, insurance, corporate infrastructure, and other general expenses.</w:t>
      </w:r>
    </w:p>
    <w:p>
      <w:pPr>
        <w:spacing w:after="0" w:line="181" w:lineRule="exact"/>
        <w:rPr>
          <w:sz w:val="20"/>
          <w:szCs w:val="20"/>
          <w:color w:val="auto"/>
        </w:rPr>
      </w:pPr>
    </w:p>
    <w:p>
      <w:pPr>
        <w:jc w:val="both"/>
        <w:ind w:left="480"/>
        <w:spacing w:after="0" w:line="269" w:lineRule="auto"/>
        <w:rPr>
          <w:sz w:val="20"/>
          <w:szCs w:val="20"/>
          <w:color w:val="auto"/>
        </w:rPr>
      </w:pPr>
      <w:r>
        <w:rPr>
          <w:rFonts w:ascii="Times New Roman" w:cs="Times New Roman" w:eastAsia="Times New Roman" w:hAnsi="Times New Roman"/>
          <w:sz w:val="18"/>
          <w:szCs w:val="18"/>
          <w:color w:val="auto"/>
        </w:rPr>
        <w:t>Pre-opening expenses consist of all expenses associated with the opening of new stores and distribution centers, as well as all expenses associated with the remodel and/or closing of an existing store.</w:t>
      </w:r>
    </w:p>
    <w:p>
      <w:pPr>
        <w:spacing w:after="0" w:line="168" w:lineRule="exact"/>
        <w:rPr>
          <w:sz w:val="20"/>
          <w:szCs w:val="20"/>
          <w:color w:val="auto"/>
        </w:rPr>
      </w:pPr>
    </w:p>
    <w:p>
      <w:pPr>
        <w:jc w:val="both"/>
        <w:ind w:left="480"/>
        <w:spacing w:after="0" w:line="269" w:lineRule="auto"/>
        <w:rPr>
          <w:sz w:val="20"/>
          <w:szCs w:val="20"/>
          <w:color w:val="auto"/>
        </w:rPr>
      </w:pPr>
      <w:r>
        <w:rPr>
          <w:rFonts w:ascii="Times New Roman" w:cs="Times New Roman" w:eastAsia="Times New Roman" w:hAnsi="Times New Roman"/>
          <w:sz w:val="18"/>
          <w:szCs w:val="18"/>
          <w:color w:val="auto"/>
        </w:rPr>
        <w:t>The method of calculating comparable store sales, gross profit, SG&amp;A and pre-opening expenses varies across the retail industry. As a result, our calculation of these items may not necessarily be compatible with similarly titled measures reported by other retail companies.</w:t>
      </w:r>
    </w:p>
    <w:p>
      <w:pPr>
        <w:spacing w:after="0" w:line="168" w:lineRule="exact"/>
        <w:rPr>
          <w:sz w:val="20"/>
          <w:szCs w:val="20"/>
          <w:color w:val="auto"/>
        </w:rPr>
      </w:pPr>
    </w:p>
    <w:p>
      <w:pPr>
        <w:jc w:val="both"/>
        <w:ind w:left="480"/>
        <w:spacing w:after="0" w:line="247" w:lineRule="auto"/>
        <w:rPr>
          <w:sz w:val="20"/>
          <w:szCs w:val="20"/>
          <w:color w:val="auto"/>
        </w:rPr>
      </w:pPr>
      <w:r>
        <w:rPr>
          <w:rFonts w:ascii="Times New Roman" w:cs="Times New Roman" w:eastAsia="Times New Roman" w:hAnsi="Times New Roman"/>
          <w:sz w:val="18"/>
          <w:szCs w:val="18"/>
          <w:color w:val="auto"/>
        </w:rPr>
        <w:t>EBITDA and Adjusted EBITDA are key metrics used by management and our Board to assess our financial performance. EBITDA and Adjusted EBITDA are also frequently used by analysts, investors, and other interested parties to evaluate companies in our industry. We use Adjusted EBITDA to supplement GAAP measures of performance to evaluate the effectiveness of our business strategies, to make budgeting decisions, to evaluate our performance in connection with compensation decisions and to compare our performance against that of other peer companies using similar measures. Management believes it is useful to investors and analysts to evaluate these non-GAAP measures on the same basis as management uses to evaluate the Company’s operating results. We believe that excluding items from operating income, net income, and net income per diluted share that may not be indicative of, or are unrelated to, our core operating results, and that may vary in frequency or magnitude, enhances the comparability of our results and provides a better baseline for analyzing trends in our business.</w:t>
      </w:r>
    </w:p>
    <w:p>
      <w:pPr>
        <w:spacing w:after="0" w:line="193" w:lineRule="exact"/>
        <w:rPr>
          <w:sz w:val="20"/>
          <w:szCs w:val="20"/>
          <w:color w:val="auto"/>
        </w:rPr>
      </w:pPr>
    </w:p>
    <w:p>
      <w:pPr>
        <w:jc w:val="both"/>
        <w:ind w:left="480"/>
        <w:spacing w:after="0" w:line="284" w:lineRule="auto"/>
        <w:rPr>
          <w:sz w:val="20"/>
          <w:szCs w:val="20"/>
          <w:color w:val="auto"/>
        </w:rPr>
      </w:pPr>
      <w:r>
        <w:rPr>
          <w:rFonts w:ascii="Times New Roman" w:cs="Times New Roman" w:eastAsia="Times New Roman" w:hAnsi="Times New Roman"/>
          <w:sz w:val="16"/>
          <w:szCs w:val="16"/>
          <w:color w:val="auto"/>
        </w:rPr>
        <w:t>We define EBITDA as net income before net interest income or expense, depreciation and amortization expenses, and income taxes. Adjusted EBITDA represents EBITDA as further adjusted for non-cash stock-based compensation expense and gains on insurance settlements. EBITDA and Adjusted EBITDA are non-GAAP measures and may not be comparable to similar measures reported by other companies. EBITDA and Adjusted EBITDA have limitations as analytical tools, and you should not consider them in isolation or as a substitute for analysis of our results as reported under GAAP. In the future we may incur expenses or charges such as those added back to calculate Adjusted EBITDA. Our presentation of Adjusted EBITDA should not be construed as an inference that our future results will be unaffected by these items. For further discussion of EBITDA and Adjusted EBITDA and for reconciliations of net income, the most directly comparable GAAP measure, to EBITDA and Adjusted EBITDA, see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217" w:lineRule="exact"/>
        <w:rPr>
          <w:sz w:val="20"/>
          <w:szCs w:val="20"/>
          <w:color w:val="auto"/>
        </w:rPr>
      </w:pPr>
    </w:p>
    <w:p>
      <w:pPr>
        <w:jc w:val="both"/>
        <w:ind w:left="480"/>
        <w:spacing w:after="0" w:line="269" w:lineRule="auto"/>
        <w:rPr>
          <w:sz w:val="20"/>
          <w:szCs w:val="20"/>
          <w:color w:val="auto"/>
        </w:rPr>
      </w:pPr>
      <w:r>
        <w:rPr>
          <w:rFonts w:ascii="Times New Roman" w:cs="Times New Roman" w:eastAsia="Times New Roman" w:hAnsi="Times New Roman"/>
          <w:sz w:val="18"/>
          <w:szCs w:val="18"/>
          <w:color w:val="auto"/>
        </w:rPr>
        <w:t>Our results over the past two years have been affected by the following factors, which must be understood in order to assess the comparability of our period-to-period financial performance and condition.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Results</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Historical results are not necessarily indicative of the results to be expected for any future period.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Openings and Closings</w:t>
      </w:r>
    </w:p>
    <w:p>
      <w:pPr>
        <w:spacing w:after="0" w:line="219" w:lineRule="exact"/>
        <w:rPr>
          <w:sz w:val="20"/>
          <w:szCs w:val="20"/>
          <w:color w:val="auto"/>
        </w:rPr>
      </w:pPr>
    </w:p>
    <w:p>
      <w:pPr>
        <w:jc w:val="both"/>
        <w:ind w:left="480"/>
        <w:spacing w:after="0" w:line="269" w:lineRule="auto"/>
        <w:rPr>
          <w:sz w:val="20"/>
          <w:szCs w:val="20"/>
          <w:color w:val="auto"/>
        </w:rPr>
      </w:pPr>
      <w:r>
        <w:rPr>
          <w:rFonts w:ascii="Times New Roman" w:cs="Times New Roman" w:eastAsia="Times New Roman" w:hAnsi="Times New Roman"/>
          <w:sz w:val="18"/>
          <w:szCs w:val="18"/>
          <w:color w:val="auto"/>
        </w:rPr>
        <w:t>We opened 27 new stores in the first quarter of fiscal 2026 and opened 25 new stores in the first quarter of fiscal 2025. In connection with these store openings, we incurred expenses of $6.4 million and $6.7 million in the respective periods.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19" w:lineRule="exact"/>
        <w:rPr>
          <w:sz w:val="20"/>
          <w:szCs w:val="20"/>
          <w:color w:val="auto"/>
        </w:rPr>
      </w:pPr>
    </w:p>
    <w:p>
      <w:pPr>
        <w:jc w:val="both"/>
        <w:ind w:left="480"/>
        <w:spacing w:after="0" w:line="248" w:lineRule="auto"/>
        <w:rPr>
          <w:sz w:val="20"/>
          <w:szCs w:val="20"/>
          <w:color w:val="auto"/>
        </w:rPr>
      </w:pPr>
      <w:r>
        <w:rPr>
          <w:rFonts w:ascii="Times New Roman" w:cs="Times New Roman" w:eastAsia="Times New Roman" w:hAnsi="Times New Roman"/>
          <w:sz w:val="18"/>
          <w:szCs w:val="18"/>
          <w:color w:val="auto"/>
        </w:rPr>
        <w:t>There is some seasonality to our business. Net sales are generally the highest in our fourth fiscal quarter due to the holiday sales season. To prepare for the holiday sales season, we must order and keep in stock more merchandise than we carry during other times of the year and generally engage in additional marketing efforts. We expect inventory levels, along with accounts payable and accrued expenses, to reach their highest levels in our third and fourth fiscal quarters in anticipation of increased net sales during the holiday sales season. As a result of this holiday-related seasonality and other variations in consumer spending habits, we experience fluctuations in net sales and working capital requirements during the year. Because we offer a broad selection of merchandise at extreme values, we believe we are less impacted than other retailers by economic cycles which correspond with declines in general consumer spending habits, and we believe we still benefit from periods of increased consumer spending.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IEEPA Tariff Refunds</w:t>
      </w:r>
    </w:p>
    <w:p>
      <w:pPr>
        <w:spacing w:after="0" w:line="219"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18"/>
          <w:szCs w:val="18"/>
          <w:color w:val="auto"/>
        </w:rPr>
        <w:t>In February 2026, the U.S. Supreme Court issued a ruling that certain tariffs previously imposed under the International Emergency Economic Powers Act (“IEEPA”) were invalid, and in March 2026, the U.S. Court of International Trade ruled that the U.S. Customs and Border Protection (“CBP”) must refund duties imposed under IEEPA. In April 2026, the CBP launched a platform for submitting IEEPA tariff refund claims. As of May 2, 2026, we had not recognized the effect of any potential tariff refunds, as the timing and amount of any potential refunds for previously collected tariffs remains uncertain and may be subject to further legal and regulatory developments. We will continue to monitor these developments and their potential impact on our financial position, results of operations, and cash flows.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7" w:lineRule="exact"/>
        <w:rPr>
          <w:sz w:val="20"/>
          <w:szCs w:val="20"/>
          <w:color w:val="auto"/>
        </w:rPr>
      </w:pPr>
    </w:p>
    <w:p>
      <w:pPr>
        <w:jc w:val="both"/>
        <w:ind w:left="480"/>
        <w:spacing w:after="0" w:line="269"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for the periods indicated, both in dollars and as a percentage of our net sales.</w:t>
      </w:r>
    </w:p>
    <w:p>
      <w:pPr>
        <w:spacing w:after="0" w:line="168" w:lineRule="exact"/>
        <w:rPr>
          <w:sz w:val="20"/>
          <w:szCs w:val="20"/>
          <w:color w:val="auto"/>
        </w:rPr>
      </w:pPr>
    </w:p>
    <w:p>
      <w:pPr>
        <w:jc w:val="both"/>
        <w:ind w:left="480"/>
        <w:spacing w:after="0" w:line="256" w:lineRule="auto"/>
        <w:rPr>
          <w:sz w:val="20"/>
          <w:szCs w:val="20"/>
          <w:color w:val="auto"/>
        </w:rPr>
      </w:pPr>
      <w:r>
        <w:rPr>
          <w:rFonts w:ascii="Times New Roman" w:cs="Times New Roman" w:eastAsia="Times New Roman" w:hAnsi="Times New Roman"/>
          <w:sz w:val="18"/>
          <w:szCs w:val="18"/>
          <w:color w:val="auto"/>
        </w:rPr>
        <w:t>We derived the condensed consolidated statements of income for the first quarter of fiscal 2026 and the first quarter of fiscal 2025 from our unaudited condensed consolidated financial statements and related notes. Our historical results are not necessarily indicative of the results that may be expected in the future.</w:t>
      </w:r>
    </w:p>
    <w:p>
      <w:pPr>
        <w:spacing w:after="0" w:line="179"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540"/>
              <w:spacing w:after="0" w:line="190" w:lineRule="exact"/>
              <w:rPr>
                <w:sz w:val="20"/>
                <w:szCs w:val="20"/>
                <w:color w:val="auto"/>
              </w:rPr>
            </w:pPr>
            <w:r>
              <w:rPr>
                <w:rFonts w:ascii="Times New Roman" w:cs="Times New Roman" w:eastAsia="Times New Roman" w:hAnsi="Times New Roman"/>
                <w:sz w:val="18"/>
                <w:szCs w:val="18"/>
                <w:b w:val="1"/>
                <w:bCs w:val="1"/>
                <w:color w:val="auto"/>
              </w:rPr>
              <w:t>May 2,</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92"/>
              <w:spacing w:after="0" w:line="190" w:lineRule="exact"/>
              <w:rPr>
                <w:sz w:val="20"/>
                <w:szCs w:val="20"/>
                <w:color w:val="auto"/>
              </w:rPr>
            </w:pPr>
            <w:r>
              <w:rPr>
                <w:rFonts w:ascii="Times New Roman" w:cs="Times New Roman" w:eastAsia="Times New Roman" w:hAnsi="Times New Roman"/>
                <w:sz w:val="18"/>
                <w:szCs w:val="18"/>
                <w:b w:val="1"/>
                <w:bCs w:val="1"/>
                <w:color w:val="auto"/>
              </w:rPr>
              <w:t>May 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data</w:t>
            </w:r>
            <w:r>
              <w:rPr>
                <w:rFonts w:ascii="Times New Roman" w:cs="Times New Roman" w:eastAsia="Times New Roman" w:hAnsi="Times New Roman"/>
                <w:sz w:val="18"/>
                <w:szCs w:val="18"/>
                <w:color w:val="auto"/>
              </w:rPr>
              <w:t>:</w:t>
            </w: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 dollars in thousands)</w:t>
            </w:r>
          </w:p>
        </w:tc>
        <w:tc>
          <w:tcPr>
            <w:tcW w:w="0" w:type="dxa"/>
            <w:vAlign w:val="bottom"/>
          </w:tcPr>
          <w:p>
            <w:pPr>
              <w:spacing w:after="0"/>
              <w:rPr>
                <w:sz w:val="1"/>
                <w:szCs w:val="1"/>
                <w:color w:val="auto"/>
              </w:rPr>
            </w:pPr>
          </w:p>
        </w:tc>
      </w:tr>
      <w:tr>
        <w:trPr>
          <w:trHeight w:val="190"/>
        </w:trPr>
        <w:tc>
          <w:tcPr>
            <w:tcW w:w="6020" w:type="dxa"/>
            <w:vAlign w:val="bottom"/>
            <w:gridSpan w:val="2"/>
            <w:vMerge w:val="continue"/>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658,928</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576,767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382,964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339,736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275,964</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164,832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9,357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Pre-opening expenses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6,656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69,557</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(4,966)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74,523</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13,414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18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5"/>
                <w:szCs w:val="15"/>
                <w:b w:val="1"/>
                <w:bCs w:val="1"/>
                <w:color w:val="auto"/>
              </w:rPr>
              <w:t xml:space="preserve">Percentage of net sales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5"/>
                <w:szCs w:val="15"/>
                <w:color w:val="auto"/>
              </w:rPr>
              <w:t>:</w:t>
            </w:r>
          </w:p>
        </w:tc>
        <w:tc>
          <w:tcPr>
            <w:tcW w:w="2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Pre-opening expenses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Select operating data:</w:t>
            </w:r>
          </w:p>
        </w:tc>
        <w:tc>
          <w:tcPr>
            <w:tcW w:w="2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new stores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left w:val="single" w:sz="8" w:color="CCEEFF"/>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Number of stores open at end of period</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tcBorders>
              <w:bottom w:val="single" w:sz="8" w:color="CCEEFF"/>
            </w:tcBorders>
            <w:shd w:val="clear" w:color="auto" w:fill="CCEEFF"/>
          </w:tcPr>
          <w:p>
            <w:pPr>
              <w:spacing w:after="0" w:line="211" w:lineRule="exact"/>
              <w:rPr>
                <w:sz w:val="20"/>
                <w:szCs w:val="20"/>
                <w:color w:val="auto"/>
              </w:rPr>
            </w:pPr>
            <w:r>
              <w:rPr>
                <w:rFonts w:ascii="Times New Roman" w:cs="Times New Roman" w:eastAsia="Times New Roman" w:hAnsi="Times New Roman"/>
                <w:sz w:val="15"/>
                <w:szCs w:val="15"/>
                <w:color w:val="auto"/>
              </w:rPr>
              <w:t xml:space="preserve">Average net sales per store </w:t>
            </w:r>
            <w:r>
              <w:rPr>
                <w:rFonts w:ascii="Times New Roman" w:cs="Times New Roman" w:eastAsia="Times New Roman" w:hAnsi="Times New Roman"/>
                <w:sz w:val="24"/>
                <w:szCs w:val="24"/>
                <w:color w:val="auto"/>
                <w:vertAlign w:val="superscript"/>
              </w:rPr>
              <w:t>(2)</w:t>
            </w:r>
          </w:p>
        </w:tc>
        <w:tc>
          <w:tcPr>
            <w:tcW w:w="2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6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stores sales change</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840" w:hanging="360"/>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Components may not add to totals due to rounding.</w:t>
      </w:r>
    </w:p>
    <w:p>
      <w:pPr>
        <w:spacing w:after="0" w:line="21" w:lineRule="exact"/>
        <w:rPr>
          <w:rFonts w:ascii="Times New Roman" w:cs="Times New Roman" w:eastAsia="Times New Roman" w:hAnsi="Times New Roman"/>
          <w:sz w:val="18"/>
          <w:szCs w:val="18"/>
          <w:color w:val="auto"/>
        </w:rPr>
      </w:pPr>
    </w:p>
    <w:p>
      <w:pPr>
        <w:ind w:left="840" w:hanging="360"/>
        <w:spacing w:after="0" w:line="248"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net sales per store represents the weighted average of total net weekly sales divided by the number of stores open at the end of each week for the respective periods presented.</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w w:val="96"/>
              </w:rPr>
              <w:t>Index</w:t>
            </w:r>
          </w:p>
        </w:tc>
        <w:tc>
          <w:tcPr>
            <w:tcW w:w="84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75"/>
        </w:trPr>
        <w:tc>
          <w:tcPr>
            <w:tcW w:w="8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our net income to Adjusted EBITDA for the periods presented: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190"/>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412"/>
              <w:spacing w:after="0" w:line="190" w:lineRule="exact"/>
              <w:rPr>
                <w:sz w:val="20"/>
                <w:szCs w:val="20"/>
                <w:color w:val="auto"/>
              </w:rPr>
            </w:pPr>
            <w:r>
              <w:rPr>
                <w:rFonts w:ascii="Times New Roman" w:cs="Times New Roman" w:eastAsia="Times New Roman" w:hAnsi="Times New Roman"/>
                <w:sz w:val="18"/>
                <w:szCs w:val="18"/>
                <w:b w:val="1"/>
                <w:bCs w:val="1"/>
                <w:color w:val="auto"/>
              </w:rPr>
              <w:t>May 2,</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92"/>
              <w:spacing w:after="0" w:line="190" w:lineRule="exact"/>
              <w:rPr>
                <w:sz w:val="20"/>
                <w:szCs w:val="20"/>
                <w:color w:val="auto"/>
              </w:rPr>
            </w:pPr>
            <w:r>
              <w:rPr>
                <w:rFonts w:ascii="Times New Roman" w:cs="Times New Roman" w:eastAsia="Times New Roman" w:hAnsi="Times New Roman"/>
                <w:sz w:val="18"/>
                <w:szCs w:val="18"/>
                <w:b w:val="1"/>
                <w:bCs w:val="1"/>
                <w:color w:val="auto"/>
              </w:rPr>
              <w:t>May 3,</w:t>
            </w:r>
          </w:p>
        </w:tc>
        <w:tc>
          <w:tcPr>
            <w:tcW w:w="100" w:type="dxa"/>
            <w:vAlign w:val="bottom"/>
          </w:tcPr>
          <w:p>
            <w:pPr>
              <w:spacing w:after="0"/>
              <w:rPr>
                <w:sz w:val="16"/>
                <w:szCs w:val="16"/>
                <w:color w:val="auto"/>
              </w:rPr>
            </w:pPr>
          </w:p>
        </w:tc>
      </w:tr>
      <w:tr>
        <w:trPr>
          <w:trHeight w:val="238"/>
        </w:trPr>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1"/>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(in</w:t>
            </w:r>
          </w:p>
        </w:tc>
        <w:tc>
          <w:tcPr>
            <w:tcW w:w="1280" w:type="dxa"/>
            <w:vAlign w:val="bottom"/>
            <w:gridSpan w:val="3"/>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100" w:type="dxa"/>
            <w:vAlign w:val="bottom"/>
          </w:tcPr>
          <w:p>
            <w:pPr>
              <w:spacing w:after="0"/>
              <w:rPr>
                <w:sz w:val="18"/>
                <w:szCs w:val="18"/>
                <w:color w:val="auto"/>
              </w:rPr>
            </w:pPr>
          </w:p>
        </w:tc>
      </w:tr>
      <w:tr>
        <w:trPr>
          <w:trHeight w:val="211"/>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47,560</w:t>
            </w:r>
          </w:p>
        </w:tc>
      </w:tr>
      <w:tr>
        <w:trPr>
          <w:trHeight w:val="211"/>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tcPr>
          <w:p>
            <w:pPr>
              <w:spacing w:after="0"/>
              <w:rPr>
                <w:sz w:val="18"/>
                <w:szCs w:val="18"/>
                <w:color w:val="auto"/>
              </w:rPr>
            </w:pPr>
          </w:p>
        </w:tc>
        <w:tc>
          <w:tcPr>
            <w:tcW w:w="112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(4,966)</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(4,788)</w:t>
            </w:r>
          </w:p>
        </w:tc>
      </w:tr>
      <w:tr>
        <w:trPr>
          <w:trHeight w:val="211"/>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00" w:type="dxa"/>
            <w:vAlign w:val="bottom"/>
            <w:shd w:val="clear" w:color="auto" w:fill="CCEEFF"/>
          </w:tcPr>
          <w:p>
            <w:pPr>
              <w:ind w:left="160"/>
              <w:spacing w:after="0" w:line="211" w:lineRule="exact"/>
              <w:rPr>
                <w:sz w:val="20"/>
                <w:szCs w:val="20"/>
                <w:color w:val="auto"/>
              </w:rPr>
            </w:pPr>
            <w:r>
              <w:rPr>
                <w:rFonts w:ascii="Times New Roman" w:cs="Times New Roman" w:eastAsia="Times New Roman" w:hAnsi="Times New Roman"/>
                <w:sz w:val="15"/>
                <w:szCs w:val="15"/>
                <w:color w:val="auto"/>
              </w:rPr>
              <w:t xml:space="preserve">Depreciation and amortization expenses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12,809</w:t>
            </w:r>
          </w:p>
        </w:tc>
      </w:tr>
      <w:tr>
        <w:trPr>
          <w:trHeight w:val="217"/>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13,414</w:t>
            </w:r>
          </w:p>
        </w:tc>
      </w:tr>
      <w:tr>
        <w:trPr>
          <w:trHeight w:val="211"/>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84,491</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68,995</w:t>
            </w:r>
          </w:p>
        </w:tc>
        <w:tc>
          <w:tcPr>
            <w:tcW w:w="100" w:type="dxa"/>
            <w:vAlign w:val="bottom"/>
            <w:shd w:val="clear" w:color="auto" w:fill="CCEEFF"/>
          </w:tcPr>
          <w:p>
            <w:pPr>
              <w:spacing w:after="0"/>
              <w:rPr>
                <w:sz w:val="18"/>
                <w:szCs w:val="18"/>
                <w:color w:val="auto"/>
              </w:rPr>
            </w:pPr>
          </w:p>
        </w:tc>
      </w:tr>
      <w:tr>
        <w:trPr>
          <w:trHeight w:val="217"/>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tcPr>
          <w:p>
            <w:pPr>
              <w:spacing w:after="0"/>
              <w:rPr>
                <w:sz w:val="18"/>
                <w:szCs w:val="18"/>
                <w:color w:val="auto"/>
              </w:rPr>
            </w:pPr>
          </w:p>
        </w:tc>
      </w:tr>
      <w:tr>
        <w:trPr>
          <w:trHeight w:val="251"/>
        </w:trPr>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2" w:lineRule="exact"/>
        <w:rPr>
          <w:sz w:val="20"/>
          <w:szCs w:val="20"/>
          <w:color w:val="auto"/>
        </w:rPr>
      </w:pPr>
    </w:p>
    <w:p>
      <w:pPr>
        <w:ind w:left="840" w:hanging="360"/>
        <w:spacing w:after="0" w:line="269"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and amortization relating to our distribution centers, which is included within cost of sales on our condensed consolidated statements of income.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of Fiscal 2026 Compared to First Quarter of Fiscal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19" w:lineRule="exact"/>
        <w:rPr>
          <w:sz w:val="20"/>
          <w:szCs w:val="20"/>
          <w:color w:val="auto"/>
        </w:rPr>
      </w:pPr>
    </w:p>
    <w:p>
      <w:pPr>
        <w:jc w:val="both"/>
        <w:ind w:left="480"/>
        <w:spacing w:after="0" w:line="269" w:lineRule="auto"/>
        <w:rPr>
          <w:sz w:val="20"/>
          <w:szCs w:val="20"/>
          <w:color w:val="auto"/>
        </w:rPr>
      </w:pPr>
      <w:r>
        <w:rPr>
          <w:rFonts w:ascii="Times New Roman" w:cs="Times New Roman" w:eastAsia="Times New Roman" w:hAnsi="Times New Roman"/>
          <w:sz w:val="18"/>
          <w:szCs w:val="18"/>
          <w:color w:val="auto"/>
        </w:rPr>
        <w:t>Net sales increased to $658.9 million in the first quarter of fiscal 2026 from $576.8 million in the first quarter of fiscal 2025, an increase of $82.1 million, or 14.2%. The increase in net sales was the result of new store unit growth and a comparable store sales increase of 1.7%.</w:t>
      </w:r>
    </w:p>
    <w:p>
      <w:pPr>
        <w:spacing w:after="0" w:line="168" w:lineRule="exact"/>
        <w:rPr>
          <w:sz w:val="20"/>
          <w:szCs w:val="20"/>
          <w:color w:val="auto"/>
        </w:rPr>
      </w:pPr>
    </w:p>
    <w:p>
      <w:pPr>
        <w:jc w:val="both"/>
        <w:ind w:left="480"/>
        <w:spacing w:after="0" w:line="269" w:lineRule="auto"/>
        <w:rPr>
          <w:sz w:val="20"/>
          <w:szCs w:val="20"/>
          <w:color w:val="auto"/>
        </w:rPr>
      </w:pPr>
      <w:r>
        <w:rPr>
          <w:rFonts w:ascii="Times New Roman" w:cs="Times New Roman" w:eastAsia="Times New Roman" w:hAnsi="Times New Roman"/>
          <w:sz w:val="18"/>
          <w:szCs w:val="18"/>
          <w:color w:val="auto"/>
        </w:rPr>
        <w:t>Comparable store sales increased 1.7% in the first quarter of fiscal 2026 compared with a 2.6% increase in the first quarter of fiscal 2025. The increase in comparable store sales in the first quarter of fiscal 2026 was driven by an increase in basket size.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19" w:lineRule="exact"/>
        <w:rPr>
          <w:sz w:val="20"/>
          <w:szCs w:val="20"/>
          <w:color w:val="auto"/>
        </w:rPr>
      </w:pPr>
    </w:p>
    <w:p>
      <w:pPr>
        <w:jc w:val="both"/>
        <w:ind w:left="480"/>
        <w:spacing w:after="0" w:line="256" w:lineRule="auto"/>
        <w:rPr>
          <w:sz w:val="20"/>
          <w:szCs w:val="20"/>
          <w:color w:val="auto"/>
        </w:rPr>
      </w:pPr>
      <w:r>
        <w:rPr>
          <w:rFonts w:ascii="Times New Roman" w:cs="Times New Roman" w:eastAsia="Times New Roman" w:hAnsi="Times New Roman"/>
          <w:sz w:val="18"/>
          <w:szCs w:val="18"/>
          <w:color w:val="auto"/>
        </w:rPr>
        <w:t>Gross profit increased to $276.0 million in the first quarter of fiscal 2026 from $237.0 million in the first quarter of fiscal 2025, an increase of $39.0 million, or 16.4%. Gross margin increased 80 basis points to 41.9% in the first quarter of fiscal 2026 from 41.1% in the first quarter of fiscal 2025. The increase in gross margin was driven by lower supply chain costs and a modest increase in merchandise margin.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19" w:lineRule="exact"/>
        <w:rPr>
          <w:sz w:val="20"/>
          <w:szCs w:val="20"/>
          <w:color w:val="auto"/>
        </w:rPr>
      </w:pPr>
    </w:p>
    <w:p>
      <w:pPr>
        <w:jc w:val="both"/>
        <w:ind w:left="480"/>
        <w:spacing w:after="0" w:line="256" w:lineRule="auto"/>
        <w:rPr>
          <w:sz w:val="20"/>
          <w:szCs w:val="20"/>
          <w:color w:val="auto"/>
        </w:rPr>
      </w:pPr>
      <w:r>
        <w:rPr>
          <w:rFonts w:ascii="Times New Roman" w:cs="Times New Roman" w:eastAsia="Times New Roman" w:hAnsi="Times New Roman"/>
          <w:sz w:val="18"/>
          <w:szCs w:val="18"/>
          <w:color w:val="auto"/>
        </w:rPr>
        <w:t>SG&amp;A increased to $188.7 million in the first quarter of fiscal 2026 from $164.8 million in the first quarter of fiscal 2025, an increase of $23.9 million, or 14.5%, driven by higher selling expenses primarily related to new store growth. As a percentage of net sales, SG&amp;A remained flat at 28.6% in the first quarter of fiscal 2026 and 2025,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219"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18"/>
          <w:szCs w:val="18"/>
          <w:color w:val="auto"/>
        </w:rPr>
        <w:t>Pre-opening expenses decreased to $6.4 million in the first quarter of fiscal 2026 from $6.7 million in the first quarter of fiscal 2025, a decrease of $0.3 million, or 3.2%. The decrease was primarily driven by lower dark rent expense associated with the bankruptcy acquired stores, partially offset by an increase in store openings. In the first quarter of fiscal 2026, we incurred rent expense on 24 bankruptcy acquired stores, compared with 66 such stores in the first quarter of fiscal 2025, and these stores carry higher levels of dark rent. We opened 27 stores in the first quarter of fiscal 2026, compared to 25 stores in the first quarter of fiscal 2025. As a percentage of net sales, pre-opening expenses decreased to 1.0% in the first quarter of fiscal 2026 compared to 1.2% in the first quarter of fiscal 2025.</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219" w:lineRule="exact"/>
        <w:rPr>
          <w:sz w:val="20"/>
          <w:szCs w:val="20"/>
          <w:color w:val="auto"/>
        </w:rPr>
      </w:pPr>
    </w:p>
    <w:p>
      <w:pPr>
        <w:jc w:val="both"/>
        <w:ind w:left="480"/>
        <w:spacing w:after="0" w:line="269" w:lineRule="auto"/>
        <w:rPr>
          <w:sz w:val="20"/>
          <w:szCs w:val="20"/>
          <w:color w:val="auto"/>
        </w:rPr>
      </w:pPr>
      <w:r>
        <w:rPr>
          <w:rFonts w:ascii="Times New Roman" w:cs="Times New Roman" w:eastAsia="Times New Roman" w:hAnsi="Times New Roman"/>
          <w:sz w:val="18"/>
          <w:szCs w:val="18"/>
          <w:color w:val="auto"/>
        </w:rPr>
        <w:t>Interest income, net was $5.0 million in the first quarter of fiscal 2026 compared with $4.8 million in the first quarter of fiscal 2025. The increase is primarily due to higher average cash and cash equivalent and investments balances, partially offset by lower interest rates.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19" w:lineRule="exact"/>
        <w:rPr>
          <w:sz w:val="20"/>
          <w:szCs w:val="20"/>
          <w:color w:val="auto"/>
        </w:rPr>
      </w:pPr>
    </w:p>
    <w:p>
      <w:pPr>
        <w:jc w:val="both"/>
        <w:ind w:left="480"/>
        <w:spacing w:after="0" w:line="252" w:lineRule="auto"/>
        <w:rPr>
          <w:sz w:val="20"/>
          <w:szCs w:val="20"/>
          <w:color w:val="auto"/>
        </w:rPr>
      </w:pPr>
      <w:r>
        <w:rPr>
          <w:rFonts w:ascii="Times New Roman" w:cs="Times New Roman" w:eastAsia="Times New Roman" w:hAnsi="Times New Roman"/>
          <w:sz w:val="18"/>
          <w:szCs w:val="18"/>
          <w:color w:val="auto"/>
        </w:rPr>
        <w:t>Income tax expense in the first quarter of fiscal 2026 was $18.1 million compared to $13.4 million in the first quarter of fiscal 2025. The effective tax rates for the first quarters of fiscal 2026 and fiscal 2025 were 24.3% and 22.0%, respectively. The change in the effective income tax rate was driven by the impact of discrete items recognized, primarily excess tax benefits related to stock-based compensation, and the expiration of the Work Opportunity Tax Credit.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19" w:lineRule="exact"/>
        <w:rPr>
          <w:sz w:val="20"/>
          <w:szCs w:val="20"/>
          <w:color w:val="auto"/>
        </w:rPr>
      </w:pPr>
    </w:p>
    <w:p>
      <w:pPr>
        <w:jc w:val="both"/>
        <w:ind w:left="480"/>
        <w:spacing w:after="0" w:line="269" w:lineRule="auto"/>
        <w:rPr>
          <w:sz w:val="20"/>
          <w:szCs w:val="20"/>
          <w:color w:val="auto"/>
        </w:rPr>
      </w:pPr>
      <w:r>
        <w:rPr>
          <w:rFonts w:ascii="Times New Roman" w:cs="Times New Roman" w:eastAsia="Times New Roman" w:hAnsi="Times New Roman"/>
          <w:sz w:val="18"/>
          <w:szCs w:val="18"/>
          <w:color w:val="auto"/>
        </w:rPr>
        <w:t>As a result of the foregoing, net income increased to $56.4 million in the first quarter of fiscal 2026 from $47.6 million in the first quarter of fiscal 2025, an increase of $8.8 million or 18.6%.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19" w:lineRule="exact"/>
        <w:rPr>
          <w:sz w:val="20"/>
          <w:szCs w:val="20"/>
          <w:color w:val="auto"/>
        </w:rPr>
      </w:pPr>
    </w:p>
    <w:p>
      <w:pPr>
        <w:jc w:val="both"/>
        <w:ind w:left="480"/>
        <w:spacing w:after="0" w:line="269" w:lineRule="auto"/>
        <w:rPr>
          <w:sz w:val="20"/>
          <w:szCs w:val="20"/>
          <w:color w:val="auto"/>
        </w:rPr>
      </w:pPr>
      <w:r>
        <w:rPr>
          <w:rFonts w:ascii="Times New Roman" w:cs="Times New Roman" w:eastAsia="Times New Roman" w:hAnsi="Times New Roman"/>
          <w:sz w:val="18"/>
          <w:szCs w:val="18"/>
          <w:color w:val="auto"/>
        </w:rPr>
        <w:t>Adjusted EBITDA increased to $87.9 million in the first quarter of fiscal 2026 from $72.2 million in the first quarter of fiscal 2025, an increase of $15.7 million, or 21.8%.</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19" w:lineRule="exact"/>
        <w:rPr>
          <w:sz w:val="20"/>
          <w:szCs w:val="20"/>
          <w:color w:val="auto"/>
        </w:rPr>
      </w:pPr>
    </w:p>
    <w:p>
      <w:pPr>
        <w:jc w:val="both"/>
        <w:ind w:left="480"/>
        <w:spacing w:after="0" w:line="252" w:lineRule="auto"/>
        <w:rPr>
          <w:sz w:val="20"/>
          <w:szCs w:val="20"/>
          <w:color w:val="auto"/>
        </w:rPr>
      </w:pPr>
      <w:r>
        <w:rPr>
          <w:rFonts w:ascii="Times New Roman" w:cs="Times New Roman" w:eastAsia="Times New Roman" w:hAnsi="Times New Roman"/>
          <w:sz w:val="18"/>
          <w:szCs w:val="18"/>
          <w:color w:val="auto"/>
        </w:rPr>
        <w:t>Our primary sources of liquidity are net cash flows provided by operating activities and available borrowings under our $100.0 million Revolving Credit Facility. Our primary cash needs are for capital expenditures and working capital. As of May 2, 2026, we had $89.6 million available to borrow under our Revolving Credit Facility and $249.6 million of cash and cash equivalents and short-term investments on hand. For further information regarding our Revolving Credit Facility, see Note 7 under “Notes to Unaudited Condensed Consolidated Financial Statements.”</w:t>
      </w:r>
    </w:p>
    <w:p>
      <w:pPr>
        <w:spacing w:after="0" w:line="185" w:lineRule="exact"/>
        <w:rPr>
          <w:sz w:val="20"/>
          <w:szCs w:val="20"/>
          <w:color w:val="auto"/>
        </w:rPr>
      </w:pPr>
    </w:p>
    <w:p>
      <w:pPr>
        <w:jc w:val="both"/>
        <w:ind w:left="480"/>
        <w:spacing w:after="0" w:line="250" w:lineRule="auto"/>
        <w:rPr>
          <w:sz w:val="20"/>
          <w:szCs w:val="20"/>
          <w:color w:val="auto"/>
        </w:rPr>
      </w:pPr>
      <w:r>
        <w:rPr>
          <w:rFonts w:ascii="Times New Roman" w:cs="Times New Roman" w:eastAsia="Times New Roman" w:hAnsi="Times New Roman"/>
          <w:sz w:val="18"/>
          <w:szCs w:val="18"/>
          <w:color w:val="auto"/>
        </w:rPr>
        <w:t>Our capital expenditures are primarily related to new store openings, lease acquisitions and related build-out costs, store resets, which consist of improvements to stores as they are needed, expenditures related to our distribution centers, and infrastructure-related investments, including investments related to upgrading and maintaining our information technology systems. We spent $25.5 million and $26.7 million for capital expenditures during the first quarters of fiscal 2026 and fiscal 2025, respectively. We opened 27 new stores during the first quarter of fiscal 2026 and opened 25 new stores during the first quarter of fiscal 2025.</w:t>
      </w:r>
    </w:p>
    <w:p>
      <w:pPr>
        <w:spacing w:after="0" w:line="187" w:lineRule="exact"/>
        <w:rPr>
          <w:sz w:val="20"/>
          <w:szCs w:val="20"/>
          <w:color w:val="auto"/>
        </w:rPr>
      </w:pPr>
    </w:p>
    <w:p>
      <w:pPr>
        <w:jc w:val="both"/>
        <w:ind w:left="480"/>
        <w:spacing w:after="0" w:line="303" w:lineRule="auto"/>
        <w:rPr>
          <w:sz w:val="20"/>
          <w:szCs w:val="20"/>
          <w:color w:val="auto"/>
        </w:rPr>
      </w:pPr>
      <w:r>
        <w:rPr>
          <w:rFonts w:ascii="Times New Roman" w:cs="Times New Roman" w:eastAsia="Times New Roman" w:hAnsi="Times New Roman"/>
          <w:sz w:val="16"/>
          <w:szCs w:val="16"/>
          <w:color w:val="auto"/>
        </w:rPr>
        <w:t>Capital expenditures in fiscal 2026 are planned to be approximately $103 to $113 million, primarily for the opening of 75 new stores, store-level initiatives at our existing stores, the expansion of two existing distribution centers, as well as general corporate capital expenditures, including information technology. We have experienced, and may continue to experience, delays in construction and permitting of new stores and other projects.</w:t>
      </w:r>
    </w:p>
    <w:p>
      <w:pPr>
        <w:spacing w:after="0" w:line="146" w:lineRule="exact"/>
        <w:rPr>
          <w:sz w:val="20"/>
          <w:szCs w:val="20"/>
          <w:color w:val="auto"/>
        </w:rPr>
      </w:pPr>
    </w:p>
    <w:p>
      <w:pPr>
        <w:jc w:val="both"/>
        <w:ind w:left="480"/>
        <w:spacing w:after="0" w:line="252" w:lineRule="auto"/>
        <w:rPr>
          <w:sz w:val="20"/>
          <w:szCs w:val="20"/>
          <w:color w:val="auto"/>
        </w:rPr>
      </w:pPr>
      <w:r>
        <w:rPr>
          <w:rFonts w:ascii="Times New Roman" w:cs="Times New Roman" w:eastAsia="Times New Roman" w:hAnsi="Times New Roman"/>
          <w:sz w:val="18"/>
          <w:szCs w:val="18"/>
          <w:color w:val="auto"/>
        </w:rPr>
        <w:t>Our primary working capital requirements are for the purchase of merchandise inventories, payroll, store rent associated with our operating leases, other store operating costs, distribution costs, and general and administrative costs. Our working capital requirements fluctuate during the year, rising in our third fiscal quarter as we increase quantities of inventory in anticipation of our peak holiday sales season in our fourth fiscal quarter. Fluctuations in working capital are also driven by the timing of new store openings.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Historically, we have funded our capital expenditures and working capital requirements during the fiscal year with cash flows from operations.</w:t>
      </w:r>
    </w:p>
    <w:p>
      <w:pPr>
        <w:spacing w:after="0" w:line="215" w:lineRule="exact"/>
        <w:rPr>
          <w:sz w:val="20"/>
          <w:szCs w:val="20"/>
          <w:color w:val="auto"/>
        </w:rPr>
      </w:pPr>
    </w:p>
    <w:p>
      <w:pPr>
        <w:jc w:val="both"/>
        <w:ind w:left="480"/>
        <w:spacing w:after="0" w:line="250" w:lineRule="auto"/>
        <w:rPr>
          <w:sz w:val="20"/>
          <w:szCs w:val="20"/>
          <w:color w:val="auto"/>
        </w:rPr>
      </w:pPr>
      <w:r>
        <w:rPr>
          <w:rFonts w:ascii="Times New Roman" w:cs="Times New Roman" w:eastAsia="Times New Roman" w:hAnsi="Times New Roman"/>
          <w:sz w:val="18"/>
          <w:szCs w:val="18"/>
          <w:color w:val="auto"/>
        </w:rPr>
        <w:t>A financial instrument which potentially subjects the Company to a concentration of credit risk is cash. Ollie’s currently maintains its day-to-day operating cash balances with major financial institutions. The Company’s operating cash balances are in excess of the Federal Deposit Insurance Corporation (“FDIC”) insurance limit. From time to time, Ollie’s invests temporary excess cash in overnight investments with expected minimal volatility, such as money market funds. Although the Company maintains balances which exceed the FDIC insured limit, it has not experienced any losses related to these balances.</w:t>
      </w:r>
    </w:p>
    <w:p>
      <w:pPr>
        <w:spacing w:after="0" w:line="187" w:lineRule="exact"/>
        <w:rPr>
          <w:sz w:val="20"/>
          <w:szCs w:val="20"/>
          <w:color w:val="auto"/>
        </w:rPr>
      </w:pPr>
    </w:p>
    <w:p>
      <w:pPr>
        <w:jc w:val="both"/>
        <w:ind w:left="480"/>
        <w:spacing w:after="0" w:line="249" w:lineRule="auto"/>
        <w:rPr>
          <w:sz w:val="20"/>
          <w:szCs w:val="20"/>
          <w:color w:val="auto"/>
        </w:rPr>
      </w:pPr>
      <w:r>
        <w:rPr>
          <w:rFonts w:ascii="Times New Roman" w:cs="Times New Roman" w:eastAsia="Times New Roman" w:hAnsi="Times New Roman"/>
          <w:sz w:val="18"/>
          <w:szCs w:val="18"/>
          <w:color w:val="auto"/>
        </w:rPr>
        <w:t>We believe our cash and cash equivalents and short-term investments position, net cash provided by operating activities and availability under our Revolving Credit Facility will be adequate to finance our planned capital expenditures, working capital requirements, debt service and other financing activities over the next 12 months. If cash provided by operating activities and borrowings under our Revolving Credit Facility are not sufficient or available to meet our capital requirements, we will then be required to obtain additional equity or debt financing in the future. There can be no assurance equity or debt financing will be available to us when needed or, if available, the terms will be satisfactory to us and not dilutive to our then-current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19" w:lineRule="exact"/>
        <w:rPr>
          <w:sz w:val="20"/>
          <w:szCs w:val="20"/>
          <w:color w:val="auto"/>
        </w:rPr>
      </w:pPr>
    </w:p>
    <w:p>
      <w:pPr>
        <w:jc w:val="both"/>
        <w:ind w:left="480"/>
        <w:spacing w:after="0" w:line="247" w:lineRule="auto"/>
        <w:rPr>
          <w:sz w:val="20"/>
          <w:szCs w:val="20"/>
          <w:color w:val="auto"/>
        </w:rPr>
      </w:pPr>
      <w:r>
        <w:rPr>
          <w:rFonts w:ascii="Times New Roman" w:cs="Times New Roman" w:eastAsia="Times New Roman" w:hAnsi="Times New Roman"/>
          <w:sz w:val="18"/>
          <w:szCs w:val="18"/>
          <w:color w:val="auto"/>
        </w:rPr>
        <w:t>In December 2020, our Board of Directors authorized common stock repurchases under a share repurchase program. The authorized amount of the program, which has been increased from time to time, is authorized for up to $700.0 million of the Company’s stock as of May 2, 2026. The share repurchase program is effective through March 31, 2029. The shares to be repurchased may be purchased from time to time in open market conditions (including blocks), privately negotiated transactions, accelerated share repurchase programs or other derivative transactions, issuer self-tender offers or any combination of the foregoing. The timing of repurchases and the actual amount purchased will depend on a variety of factors, including the market price of our shares, general market, economic and business conditions, and other corporate considerations. Repurchases may be made pursuant to plans intended to comply with Rule 10b5-1 under the Securities Exchange Act of 1934, which could allow us to purchase our shares during periods when we otherwise might be prevented from doing so under insider trading laws or because of self-imposed trading blackout periods. Repurchases are expected to be funded from cash on hand or through the utilization of our Revolving Credit Facility. The repurchase authorization does not require the purchase of a specific number of shares and is subject to suspension or termination by our Board at any time.</w:t>
      </w:r>
    </w:p>
    <w:p>
      <w:pPr>
        <w:spacing w:after="0" w:line="188" w:lineRule="exact"/>
        <w:rPr>
          <w:sz w:val="20"/>
          <w:szCs w:val="20"/>
          <w:color w:val="auto"/>
        </w:rPr>
      </w:pPr>
    </w:p>
    <w:p>
      <w:pPr>
        <w:jc w:val="both"/>
        <w:ind w:left="480"/>
        <w:spacing w:after="0" w:line="250" w:lineRule="auto"/>
        <w:rPr>
          <w:sz w:val="20"/>
          <w:szCs w:val="20"/>
          <w:color w:val="auto"/>
        </w:rPr>
      </w:pPr>
      <w:r>
        <w:rPr>
          <w:rFonts w:ascii="Times New Roman" w:cs="Times New Roman" w:eastAsia="Times New Roman" w:hAnsi="Times New Roman"/>
          <w:sz w:val="18"/>
          <w:szCs w:val="18"/>
          <w:color w:val="auto"/>
        </w:rPr>
        <w:t>During the first quarter of fiscal 2026, we repurchased 542,486 shares of our common stock for $53.4 million, inclusive of transaction costs, pursuant to our share repurchase program. During the first quarter of fiscal 2025, we repurchased 159,757 shares of our common stock for $17.1 million, inclusive of transaction costs, pursuant to our share repurchase program. These expenditures were funded by cash generated from operations. As of May 2, 2026, we had approximately $205.4 million remaining under our share repurchase authorization. There can be no assurances that any additional repurchases will be completed, or as to the timing or amount of any repurchases.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w w:val="96"/>
              </w:rPr>
              <w:t>Index</w:t>
            </w:r>
          </w:p>
        </w:tc>
        <w:tc>
          <w:tcPr>
            <w:tcW w:w="84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5"/>
        </w:trPr>
        <w:tc>
          <w:tcPr>
            <w:tcW w:w="8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20" w:type="dxa"/>
            <w:vAlign w:val="bottom"/>
          </w:tcPr>
          <w:p>
            <w:pPr>
              <w:spacing w:after="0"/>
              <w:rPr>
                <w:sz w:val="24"/>
                <w:szCs w:val="24"/>
                <w:color w:val="auto"/>
              </w:rPr>
            </w:pPr>
          </w:p>
        </w:tc>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A summary of our cash flows from operating, investing, and financing activities is presented in the following table:</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412"/>
              <w:spacing w:after="0" w:line="190" w:lineRule="exact"/>
              <w:rPr>
                <w:sz w:val="20"/>
                <w:szCs w:val="20"/>
                <w:color w:val="auto"/>
              </w:rPr>
            </w:pPr>
            <w:r>
              <w:rPr>
                <w:rFonts w:ascii="Times New Roman" w:cs="Times New Roman" w:eastAsia="Times New Roman" w:hAnsi="Times New Roman"/>
                <w:sz w:val="18"/>
                <w:szCs w:val="18"/>
                <w:b w:val="1"/>
                <w:bCs w:val="1"/>
                <w:color w:val="auto"/>
              </w:rPr>
              <w:t>May 2,</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92"/>
              <w:spacing w:after="0" w:line="190" w:lineRule="exact"/>
              <w:rPr>
                <w:sz w:val="20"/>
                <w:szCs w:val="20"/>
                <w:color w:val="auto"/>
              </w:rPr>
            </w:pPr>
            <w:r>
              <w:rPr>
                <w:rFonts w:ascii="Times New Roman" w:cs="Times New Roman" w:eastAsia="Times New Roman" w:hAnsi="Times New Roman"/>
                <w:sz w:val="18"/>
                <w:szCs w:val="18"/>
                <w:b w:val="1"/>
                <w:bCs w:val="1"/>
                <w:color w:val="auto"/>
              </w:rPr>
              <w:t>May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(in</w:t>
            </w:r>
          </w:p>
        </w:tc>
        <w:tc>
          <w:tcPr>
            <w:tcW w:w="1280" w:type="dxa"/>
            <w:vAlign w:val="bottom"/>
            <w:gridSpan w:val="3"/>
          </w:tcPr>
          <w:p>
            <w:pPr>
              <w:jc w:val="right"/>
              <w:ind w:right="592"/>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45,501</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28,702</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8"/>
                <w:szCs w:val="18"/>
                <w:color w:val="auto"/>
              </w:rPr>
            </w:pPr>
          </w:p>
        </w:tc>
        <w:tc>
          <w:tcPr>
            <w:tcW w:w="112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(49,561)</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(18,266)</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(57,947)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(16,541)</w:t>
            </w:r>
          </w:p>
        </w:tc>
        <w:tc>
          <w:tcPr>
            <w:tcW w:w="0" w:type="dxa"/>
            <w:vAlign w:val="bottom"/>
          </w:tcPr>
          <w:p>
            <w:pPr>
              <w:spacing w:after="0"/>
              <w:rPr>
                <w:sz w:val="1"/>
                <w:szCs w:val="1"/>
                <w:color w:val="auto"/>
              </w:rPr>
            </w:pPr>
          </w:p>
        </w:tc>
      </w:tr>
      <w:tr>
        <w:trPr>
          <w:trHeight w:val="26"/>
        </w:trPr>
        <w:tc>
          <w:tcPr>
            <w:tcW w:w="3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(62,007)</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219" w:lineRule="exact"/>
        <w:rPr>
          <w:sz w:val="20"/>
          <w:szCs w:val="20"/>
          <w:color w:val="auto"/>
        </w:rPr>
      </w:pPr>
    </w:p>
    <w:p>
      <w:pPr>
        <w:jc w:val="both"/>
        <w:ind w:left="480"/>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 the first quarters of fiscal 2026 and fiscal 2025 was $45.5 million and $28.7 million, respectively. Operating cash flow was positively impacted by higher net income and higher operating expense related accruals, partially offset by an increase in inventory resulting from new store growth and the timing of merchandise payments.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219" w:lineRule="exact"/>
        <w:rPr>
          <w:sz w:val="20"/>
          <w:szCs w:val="20"/>
          <w:color w:val="auto"/>
        </w:rPr>
      </w:pPr>
    </w:p>
    <w:p>
      <w:pPr>
        <w:jc w:val="both"/>
        <w:ind w:left="480"/>
        <w:spacing w:after="0" w:line="332" w:lineRule="auto"/>
        <w:rPr>
          <w:sz w:val="20"/>
          <w:szCs w:val="20"/>
          <w:color w:val="auto"/>
        </w:rPr>
      </w:pPr>
      <w:r>
        <w:rPr>
          <w:rFonts w:ascii="Times New Roman" w:cs="Times New Roman" w:eastAsia="Times New Roman" w:hAnsi="Times New Roman"/>
          <w:sz w:val="16"/>
          <w:szCs w:val="16"/>
          <w:color w:val="auto"/>
        </w:rPr>
        <w:t>Net cash used in investing activities in the first quarters of fiscal 2026 and fiscal 2025 was $49.6 million and $18.3 million, respectively. Cash used in investing activities includes purchases of property and equipment of $25.5 million and purchases of investments, net of maturities, of $24.5 million.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219" w:lineRule="exact"/>
        <w:rPr>
          <w:sz w:val="20"/>
          <w:szCs w:val="20"/>
          <w:color w:val="auto"/>
        </w:rPr>
      </w:pPr>
    </w:p>
    <w:p>
      <w:pPr>
        <w:jc w:val="both"/>
        <w:ind w:left="480"/>
        <w:spacing w:after="0" w:line="332" w:lineRule="auto"/>
        <w:rPr>
          <w:sz w:val="20"/>
          <w:szCs w:val="20"/>
          <w:color w:val="auto"/>
        </w:rPr>
      </w:pPr>
      <w:r>
        <w:rPr>
          <w:rFonts w:ascii="Times New Roman" w:cs="Times New Roman" w:eastAsia="Times New Roman" w:hAnsi="Times New Roman"/>
          <w:sz w:val="16"/>
          <w:szCs w:val="16"/>
          <w:color w:val="auto"/>
        </w:rPr>
        <w:t>Net cash used in financing activities in the first quarters of fiscal 2026 and fiscal 2025 was $57.9 million and $16.5 million, respectively. Cash used in financing activities reflects payments of $53.4 million for the repurchase of common stock and $4.8 million for taxes related to restricted stock vestings.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17" w:lineRule="exact"/>
        <w:rPr>
          <w:sz w:val="20"/>
          <w:szCs w:val="20"/>
          <w:color w:val="auto"/>
        </w:rPr>
      </w:pPr>
    </w:p>
    <w:p>
      <w:pPr>
        <w:jc w:val="both"/>
        <w:ind w:left="480"/>
        <w:spacing w:after="0" w:line="256" w:lineRule="auto"/>
        <w:rPr>
          <w:sz w:val="20"/>
          <w:szCs w:val="20"/>
          <w:color w:val="auto"/>
        </w:rPr>
      </w:pPr>
      <w:r>
        <w:rPr>
          <w:rFonts w:ascii="Times New Roman" w:cs="Times New Roman" w:eastAsia="Times New Roman" w:hAnsi="Times New Roman"/>
          <w:sz w:val="18"/>
          <w:szCs w:val="18"/>
          <w:color w:val="auto"/>
        </w:rPr>
        <w:t>We enter into long-term contractual obligations and commitments in the normal course of business, primarily operating leases. Except as set forth in Note 4 of the accompanying unaudited condensed consolidated financial statements, there have been no material changes to our contractual obligations as disclosed in our Annual Report, other than those which occur in the ordinary course of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17" w:lineRule="exact"/>
        <w:rPr>
          <w:sz w:val="20"/>
          <w:szCs w:val="20"/>
          <w:color w:val="auto"/>
        </w:rPr>
      </w:pPr>
    </w:p>
    <w:p>
      <w:pPr>
        <w:jc w:val="both"/>
        <w:ind w:left="480"/>
        <w:spacing w:after="0" w:line="256"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7" w:lineRule="exact"/>
        <w:rPr>
          <w:sz w:val="20"/>
          <w:szCs w:val="20"/>
          <w:color w:val="auto"/>
        </w:rPr>
      </w:pPr>
    </w:p>
    <w:p>
      <w:pPr>
        <w:jc w:val="both"/>
        <w:ind w:left="48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assets, liabilities, revenues, expenses, and related disclosures. There have been no significant changes in the significant accounting policies and estimates.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9" w:lineRule="exact"/>
        <w:rPr>
          <w:sz w:val="20"/>
          <w:szCs w:val="20"/>
          <w:color w:val="auto"/>
        </w:rPr>
      </w:pPr>
    </w:p>
    <w:p>
      <w:pPr>
        <w:jc w:val="both"/>
        <w:ind w:left="480"/>
        <w:spacing w:after="0" w:line="269" w:lineRule="auto"/>
        <w:rPr>
          <w:sz w:val="20"/>
          <w:szCs w:val="20"/>
          <w:color w:val="auto"/>
        </w:rPr>
      </w:pPr>
      <w:r>
        <w:rPr>
          <w:rFonts w:ascii="Times New Roman" w:cs="Times New Roman" w:eastAsia="Times New Roman" w:hAnsi="Times New Roman"/>
          <w:sz w:val="18"/>
          <w:szCs w:val="18"/>
          <w:color w:val="auto"/>
        </w:rPr>
        <w:t>We are subject to interest rate risk in connection with borrowings under our Revolving Credit Facility, which bears interest at variable rates. As of May 2, 2026, we had no outstanding variable rate debt.</w:t>
      </w:r>
    </w:p>
    <w:p>
      <w:pPr>
        <w:spacing w:after="0" w:line="168" w:lineRule="exact"/>
        <w:rPr>
          <w:sz w:val="20"/>
          <w:szCs w:val="20"/>
          <w:color w:val="auto"/>
        </w:rPr>
      </w:pPr>
    </w:p>
    <w:p>
      <w:pPr>
        <w:jc w:val="both"/>
        <w:ind w:left="480"/>
        <w:spacing w:after="0" w:line="269" w:lineRule="auto"/>
        <w:rPr>
          <w:sz w:val="20"/>
          <w:szCs w:val="20"/>
          <w:color w:val="auto"/>
        </w:rPr>
      </w:pPr>
      <w:r>
        <w:rPr>
          <w:rFonts w:ascii="Times New Roman" w:cs="Times New Roman" w:eastAsia="Times New Roman" w:hAnsi="Times New Roman"/>
          <w:sz w:val="18"/>
          <w:szCs w:val="18"/>
          <w:color w:val="auto"/>
        </w:rPr>
        <w:t>As of May 2, 2026, there were no material changes in the market risks described in the “Quantitative and Qualitative Disclosure of Market Risks” section of our Annual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219" w:lineRule="exact"/>
        <w:rPr>
          <w:sz w:val="20"/>
          <w:szCs w:val="20"/>
          <w:color w:val="auto"/>
        </w:rPr>
      </w:pPr>
    </w:p>
    <w:p>
      <w:pPr>
        <w:jc w:val="both"/>
        <w:ind w:left="480"/>
        <w:spacing w:after="0" w:line="252"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historical results of operations and financial condition have been immaterial. We cannot be assured that our results of operations and financial condition will not be materially impacted by inflation in the future.</w:t>
      </w:r>
    </w:p>
    <w:p>
      <w:pPr>
        <w:spacing w:after="0" w:line="18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7" w:lineRule="exact"/>
        <w:rPr>
          <w:sz w:val="20"/>
          <w:szCs w:val="20"/>
          <w:color w:val="auto"/>
        </w:rPr>
      </w:pPr>
    </w:p>
    <w:p>
      <w:pPr>
        <w:jc w:val="both"/>
        <w:ind w:left="480"/>
        <w:spacing w:after="0" w:line="246" w:lineRule="auto"/>
        <w:rPr>
          <w:sz w:val="20"/>
          <w:szCs w:val="20"/>
          <w:color w:val="auto"/>
        </w:rPr>
      </w:pPr>
      <w:r>
        <w:rPr>
          <w:rFonts w:ascii="Times New Roman" w:cs="Times New Roman" w:eastAsia="Times New Roman" w:hAnsi="Times New Roman"/>
          <w:sz w:val="18"/>
          <w:szCs w:val="18"/>
          <w:color w:val="auto"/>
        </w:rPr>
        <w:t>Our management has evaluated, under the supervision and with the participation of our Chief Executive Officer and Chief Financial Officer, the effectiveness of our disclosure controls and procedures, as defined in Rule 13(a)-15(e) of the Securities Exchange Act of 1934, as amended (the “Exchange Act”), as of the end of the period covered by this Quarterly Report on Form 10-Q pursuant to Rule 13a-15(b) of the Exchange Act. Based on that evaluation, our Chief Executive Officer and Chief Financial Officer have concluded that our disclosure controls and procedures as of the end of the period covered by this Quarterly Report on Form 10-Q are effective at a reasonable assurance level in ensuring that information required to be disclosed in our Exchange Act reports is: (1) recorded, processed, summarized and reported in a timely manner, and (2) accumulated and communicated to our management, including our Chief Executive Officer and Chief Financial Officer, as appropriate to allow timely decisions regarding required disclosure. Our management, including our Chief Executive Officer and Chief Financial Officer,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7" w:lineRule="exact"/>
        <w:rPr>
          <w:sz w:val="20"/>
          <w:szCs w:val="20"/>
          <w:color w:val="auto"/>
        </w:rPr>
      </w:pPr>
    </w:p>
    <w:p>
      <w:pPr>
        <w:jc w:val="both"/>
        <w:ind w:left="480"/>
        <w:spacing w:after="0" w:line="269"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first quarter of fiscal 2026 that have materially affected, or that are reasonably likely to materially affect, our internal control over financial reporting.</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17" w:lineRule="exact"/>
        <w:rPr>
          <w:sz w:val="20"/>
          <w:szCs w:val="20"/>
          <w:color w:val="auto"/>
        </w:rPr>
      </w:pPr>
    </w:p>
    <w:p>
      <w:pPr>
        <w:jc w:val="both"/>
        <w:ind w:left="480"/>
        <w:spacing w:after="0" w:line="252" w:lineRule="auto"/>
        <w:rPr>
          <w:sz w:val="20"/>
          <w:szCs w:val="20"/>
          <w:color w:val="auto"/>
        </w:rPr>
      </w:pPr>
      <w:r>
        <w:rPr>
          <w:rFonts w:ascii="Times New Roman" w:cs="Times New Roman" w:eastAsia="Times New Roman" w:hAnsi="Times New Roman"/>
          <w:sz w:val="18"/>
          <w:szCs w:val="18"/>
          <w:color w:val="auto"/>
        </w:rPr>
        <w:t>From time to time we may be involved in claims and legal actions that arise in the ordinary course of our business. We cannot predict the outcome of any litigation or suit to which we are a party. However, we do not believe that an unfavorable decision of any of the current claims or legal actions against us, individually or in the aggregate, will have a material adverse effect on our financial position, results of operations, liquidity or capital resources.</w:t>
      </w:r>
    </w:p>
    <w:p>
      <w:pPr>
        <w:spacing w:after="0" w:line="18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17" w:lineRule="exact"/>
        <w:rPr>
          <w:sz w:val="20"/>
          <w:szCs w:val="20"/>
          <w:color w:val="auto"/>
        </w:rPr>
      </w:pPr>
    </w:p>
    <w:p>
      <w:pPr>
        <w:jc w:val="both"/>
        <w:ind w:left="480"/>
        <w:spacing w:after="0" w:line="269" w:lineRule="auto"/>
        <w:rPr>
          <w:sz w:val="20"/>
          <w:szCs w:val="20"/>
          <w:color w:val="auto"/>
        </w:rPr>
      </w:pPr>
      <w:r>
        <w:rPr>
          <w:rFonts w:ascii="Times New Roman" w:cs="Times New Roman" w:eastAsia="Times New Roman" w:hAnsi="Times New Roman"/>
          <w:sz w:val="18"/>
          <w:szCs w:val="18"/>
          <w:color w:val="auto"/>
        </w:rPr>
        <w:t>See Item 1A in our Annual Report for a detailed description of risk factors affecting the Company. There have been no material changes from the risk factors previously disclosed in that filing.</w:t>
      </w:r>
    </w:p>
    <w:p>
      <w:pPr>
        <w:spacing w:after="0" w:line="16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Information on Share Repurchases</w:t>
      </w:r>
    </w:p>
    <w:p>
      <w:pPr>
        <w:spacing w:after="0" w:line="2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Information regarding shares of common stock the Company repurchased during the thirteen weeks ended May 2, 2026 is as follows:</w:t>
      </w:r>
    </w:p>
    <w:p>
      <w:pPr>
        <w:spacing w:after="0" w:line="213" w:lineRule="exact"/>
        <w:rPr>
          <w:sz w:val="20"/>
          <w:szCs w:val="20"/>
          <w:color w:val="auto"/>
        </w:rPr>
      </w:pPr>
    </w:p>
    <w:tbl>
      <w:tblPr>
        <w:tblLayout w:type="fixed"/>
        <w:tblInd w:w="48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Total number of</w:t>
            </w: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shares purchased</w:t>
            </w:r>
          </w:p>
        </w:tc>
        <w:tc>
          <w:tcPr>
            <w:tcW w:w="14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Approximate dollar</w:t>
            </w:r>
          </w:p>
        </w:tc>
      </w:tr>
      <w:tr>
        <w:trPr>
          <w:trHeight w:val="211"/>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Total number</w:t>
            </w:r>
          </w:p>
        </w:tc>
        <w:tc>
          <w:tcPr>
            <w:tcW w:w="12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as part of publicly</w:t>
            </w:r>
          </w:p>
        </w:tc>
        <w:tc>
          <w:tcPr>
            <w:tcW w:w="19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 of shares that may</w:t>
            </w:r>
          </w:p>
        </w:tc>
      </w:tr>
      <w:tr>
        <w:trPr>
          <w:trHeight w:val="201"/>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center"/>
              <w:ind w:right="180"/>
              <w:spacing w:after="0" w:line="201" w:lineRule="exact"/>
              <w:rPr>
                <w:sz w:val="20"/>
                <w:szCs w:val="20"/>
                <w:color w:val="auto"/>
              </w:rPr>
            </w:pPr>
            <w:r>
              <w:rPr>
                <w:rFonts w:ascii="Times New Roman" w:cs="Times New Roman" w:eastAsia="Times New Roman" w:hAnsi="Times New Roman"/>
                <w:sz w:val="18"/>
                <w:szCs w:val="18"/>
                <w:b w:val="1"/>
                <w:bCs w:val="1"/>
                <w:color w:val="auto"/>
                <w:w w:val="96"/>
              </w:rPr>
              <w:t>of shares</w:t>
            </w:r>
          </w:p>
        </w:tc>
        <w:tc>
          <w:tcPr>
            <w:tcW w:w="120" w:type="dxa"/>
            <w:vAlign w:val="bottom"/>
          </w:tcPr>
          <w:p>
            <w:pPr>
              <w:spacing w:after="0"/>
              <w:rPr>
                <w:sz w:val="17"/>
                <w:szCs w:val="17"/>
                <w:color w:val="auto"/>
              </w:rPr>
            </w:pPr>
          </w:p>
        </w:tc>
        <w:tc>
          <w:tcPr>
            <w:tcW w:w="1100" w:type="dxa"/>
            <w:vAlign w:val="bottom"/>
            <w:gridSpan w:val="2"/>
          </w:tcPr>
          <w:p>
            <w:pPr>
              <w:jc w:val="center"/>
              <w:ind w:right="300"/>
              <w:spacing w:after="0" w:line="201" w:lineRule="exact"/>
              <w:rPr>
                <w:sz w:val="20"/>
                <w:szCs w:val="20"/>
                <w:color w:val="auto"/>
              </w:rPr>
            </w:pPr>
            <w:r>
              <w:rPr>
                <w:rFonts w:ascii="Times New Roman" w:cs="Times New Roman" w:eastAsia="Times New Roman" w:hAnsi="Times New Roman"/>
                <w:sz w:val="18"/>
                <w:szCs w:val="18"/>
                <w:b w:val="1"/>
                <w:bCs w:val="1"/>
                <w:color w:val="auto"/>
                <w:w w:val="97"/>
              </w:rPr>
              <w:t>price paid</w:t>
            </w:r>
          </w:p>
        </w:tc>
        <w:tc>
          <w:tcPr>
            <w:tcW w:w="1540" w:type="dxa"/>
            <w:vAlign w:val="bottom"/>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7"/>
              </w:rPr>
              <w:t>announced plans</w:t>
            </w:r>
          </w:p>
        </w:tc>
        <w:tc>
          <w:tcPr>
            <w:tcW w:w="1960" w:type="dxa"/>
            <w:vAlign w:val="bottom"/>
            <w:gridSpan w:val="3"/>
          </w:tcPr>
          <w:p>
            <w:pPr>
              <w:jc w:val="center"/>
              <w:ind w:right="80"/>
              <w:spacing w:after="0" w:line="201" w:lineRule="exact"/>
              <w:rPr>
                <w:sz w:val="20"/>
                <w:szCs w:val="20"/>
                <w:color w:val="auto"/>
              </w:rPr>
            </w:pPr>
            <w:r>
              <w:rPr>
                <w:rFonts w:ascii="Times New Roman" w:cs="Times New Roman" w:eastAsia="Times New Roman" w:hAnsi="Times New Roman"/>
                <w:sz w:val="18"/>
                <w:szCs w:val="18"/>
                <w:b w:val="1"/>
                <w:bCs w:val="1"/>
                <w:color w:val="auto"/>
                <w:w w:val="97"/>
              </w:rPr>
              <w:t>yet be purchased under</w:t>
            </w:r>
          </w:p>
        </w:tc>
      </w:tr>
      <w:tr>
        <w:trPr>
          <w:trHeight w:val="247"/>
        </w:trPr>
        <w:tc>
          <w:tcPr>
            <w:tcW w:w="20" w:type="dxa"/>
            <w:vAlign w:val="bottom"/>
          </w:tcPr>
          <w:p>
            <w:pPr>
              <w:spacing w:after="0"/>
              <w:rPr>
                <w:sz w:val="21"/>
                <w:szCs w:val="21"/>
                <w:color w:val="auto"/>
              </w:rPr>
            </w:pPr>
          </w:p>
        </w:tc>
        <w:tc>
          <w:tcPr>
            <w:tcW w:w="462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00" w:type="dxa"/>
            <w:vAlign w:val="bottom"/>
            <w:gridSpan w:val="3"/>
          </w:tcPr>
          <w:p>
            <w:pPr>
              <w:jc w:val="center"/>
              <w:ind w:right="80"/>
              <w:spacing w:after="0" w:line="241" w:lineRule="exact"/>
              <w:rPr>
                <w:sz w:val="20"/>
                <w:szCs w:val="20"/>
                <w:color w:val="auto"/>
              </w:rPr>
            </w:pPr>
            <w:r>
              <w:rPr>
                <w:rFonts w:ascii="Times New Roman" w:cs="Times New Roman" w:eastAsia="Times New Roman" w:hAnsi="Times New Roman"/>
                <w:sz w:val="17"/>
                <w:szCs w:val="17"/>
                <w:b w:val="1"/>
                <w:bCs w:val="1"/>
                <w:color w:val="auto"/>
              </w:rPr>
              <w:t xml:space="preserve">repurchased </w:t>
            </w:r>
            <w:r>
              <w:rPr>
                <w:rFonts w:ascii="Times New Roman" w:cs="Times New Roman" w:eastAsia="Times New Roman" w:hAnsi="Times New Roman"/>
                <w:sz w:val="27"/>
                <w:szCs w:val="27"/>
                <w:b w:val="1"/>
                <w:bCs w:val="1"/>
                <w:color w:val="auto"/>
                <w:vertAlign w:val="superscript"/>
              </w:rPr>
              <w:t>(1)</w:t>
            </w:r>
          </w:p>
        </w:tc>
        <w:tc>
          <w:tcPr>
            <w:tcW w:w="1220" w:type="dxa"/>
            <w:vAlign w:val="bottom"/>
            <w:gridSpan w:val="3"/>
          </w:tcPr>
          <w:p>
            <w:pPr>
              <w:jc w:val="center"/>
              <w:ind w:right="180"/>
              <w:spacing w:after="0" w:line="241" w:lineRule="exact"/>
              <w:rPr>
                <w:sz w:val="20"/>
                <w:szCs w:val="20"/>
                <w:color w:val="auto"/>
              </w:rPr>
            </w:pPr>
            <w:r>
              <w:rPr>
                <w:rFonts w:ascii="Times New Roman" w:cs="Times New Roman" w:eastAsia="Times New Roman" w:hAnsi="Times New Roman"/>
                <w:sz w:val="17"/>
                <w:szCs w:val="17"/>
                <w:b w:val="1"/>
                <w:bCs w:val="1"/>
                <w:color w:val="auto"/>
                <w:w w:val="98"/>
              </w:rPr>
              <w:t xml:space="preserve">per share </w:t>
            </w:r>
            <w:r>
              <w:rPr>
                <w:rFonts w:ascii="Times New Roman" w:cs="Times New Roman" w:eastAsia="Times New Roman" w:hAnsi="Times New Roman"/>
                <w:sz w:val="27"/>
                <w:szCs w:val="27"/>
                <w:b w:val="1"/>
                <w:bCs w:val="1"/>
                <w:color w:val="auto"/>
                <w:w w:val="98"/>
                <w:vertAlign w:val="superscript"/>
              </w:rPr>
              <w:t>(2)</w:t>
            </w:r>
          </w:p>
        </w:tc>
        <w:tc>
          <w:tcPr>
            <w:tcW w:w="1540" w:type="dxa"/>
            <w:vAlign w:val="bottom"/>
            <w:gridSpan w:val="2"/>
          </w:tcPr>
          <w:p>
            <w:pPr>
              <w:jc w:val="center"/>
              <w:ind w:right="180"/>
              <w:spacing w:after="0" w:line="241" w:lineRule="exact"/>
              <w:rPr>
                <w:sz w:val="20"/>
                <w:szCs w:val="20"/>
                <w:color w:val="auto"/>
              </w:rPr>
            </w:pPr>
            <w:r>
              <w:rPr>
                <w:rFonts w:ascii="Times New Roman" w:cs="Times New Roman" w:eastAsia="Times New Roman" w:hAnsi="Times New Roman"/>
                <w:sz w:val="17"/>
                <w:szCs w:val="17"/>
                <w:b w:val="1"/>
                <w:bCs w:val="1"/>
                <w:color w:val="auto"/>
                <w:w w:val="99"/>
              </w:rPr>
              <w:t xml:space="preserve">or programs </w:t>
            </w:r>
            <w:r>
              <w:rPr>
                <w:rFonts w:ascii="Times New Roman" w:cs="Times New Roman" w:eastAsia="Times New Roman" w:hAnsi="Times New Roman"/>
                <w:sz w:val="27"/>
                <w:szCs w:val="27"/>
                <w:b w:val="1"/>
                <w:bCs w:val="1"/>
                <w:color w:val="auto"/>
                <w:w w:val="99"/>
                <w:vertAlign w:val="superscript"/>
              </w:rPr>
              <w:t>(3)</w:t>
            </w:r>
          </w:p>
        </w:tc>
        <w:tc>
          <w:tcPr>
            <w:tcW w:w="1960" w:type="dxa"/>
            <w:vAlign w:val="bottom"/>
            <w:gridSpan w:val="3"/>
          </w:tcPr>
          <w:p>
            <w:pPr>
              <w:jc w:val="right"/>
              <w:ind w:right="80"/>
              <w:spacing w:after="0" w:line="241" w:lineRule="exact"/>
              <w:rPr>
                <w:sz w:val="20"/>
                <w:szCs w:val="20"/>
                <w:color w:val="auto"/>
              </w:rPr>
            </w:pPr>
            <w:r>
              <w:rPr>
                <w:rFonts w:ascii="Times New Roman" w:cs="Times New Roman" w:eastAsia="Times New Roman" w:hAnsi="Times New Roman"/>
                <w:sz w:val="17"/>
                <w:szCs w:val="17"/>
                <w:b w:val="1"/>
                <w:bCs w:val="1"/>
                <w:color w:val="auto"/>
                <w:w w:val="99"/>
              </w:rPr>
              <w:t xml:space="preserve">the plans or programs </w:t>
            </w:r>
            <w:r>
              <w:rPr>
                <w:rFonts w:ascii="Times New Roman" w:cs="Times New Roman" w:eastAsia="Times New Roman" w:hAnsi="Times New Roman"/>
                <w:sz w:val="27"/>
                <w:szCs w:val="27"/>
                <w:b w:val="1"/>
                <w:bCs w:val="1"/>
                <w:color w:val="auto"/>
                <w:w w:val="99"/>
                <w:vertAlign w:val="superscript"/>
              </w:rPr>
              <w:t>(3)</w:t>
            </w:r>
          </w:p>
        </w:tc>
      </w:tr>
      <w:tr>
        <w:trPr>
          <w:trHeight w:val="211"/>
        </w:trPr>
        <w:tc>
          <w:tcPr>
            <w:tcW w:w="20" w:type="dxa"/>
            <w:vAlign w:val="bottom"/>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2026 through February 28, 2026</w:t>
            </w:r>
          </w:p>
        </w:tc>
        <w:tc>
          <w:tcPr>
            <w:tcW w:w="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93,657</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93,657</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248,374,765</w:t>
            </w:r>
          </w:p>
        </w:tc>
        <w:tc>
          <w:tcPr>
            <w:tcW w:w="8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March 1, 2026 through April 4, 2026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317,314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317,314</w:t>
            </w:r>
          </w:p>
        </w:tc>
        <w:tc>
          <w:tcPr>
            <w:tcW w:w="140" w:type="dxa"/>
            <w:vAlign w:val="bottom"/>
          </w:tcPr>
          <w:p>
            <w:pPr>
              <w:spacing w:after="0"/>
              <w:rPr>
                <w:sz w:val="18"/>
                <w:szCs w:val="18"/>
                <w:color w:val="auto"/>
              </w:rPr>
            </w:pP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217,820,184</w:t>
            </w:r>
          </w:p>
        </w:tc>
      </w:tr>
      <w:tr>
        <w:trPr>
          <w:trHeight w:val="217"/>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5, 2026 through May 2, 2026</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205,433,060</w:t>
            </w:r>
          </w:p>
        </w:tc>
      </w:tr>
      <w:tr>
        <w:trPr>
          <w:trHeight w:val="211"/>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542,486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542,486</w:t>
            </w: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p>
      <w:pPr>
        <w:ind w:left="840" w:hanging="360"/>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repurchased under the publicly announced share repurchase program.</w:t>
      </w:r>
    </w:p>
    <w:p>
      <w:pPr>
        <w:spacing w:after="0" w:line="214" w:lineRule="exact"/>
        <w:rPr>
          <w:rFonts w:ascii="Times New Roman" w:cs="Times New Roman" w:eastAsia="Times New Roman" w:hAnsi="Times New Roman"/>
          <w:sz w:val="18"/>
          <w:szCs w:val="18"/>
          <w:color w:val="auto"/>
        </w:rPr>
      </w:pPr>
    </w:p>
    <w:p>
      <w:pPr>
        <w:ind w:left="840" w:hanging="360"/>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commissions for the shares repurchased under the share repurchase program.</w:t>
      </w:r>
    </w:p>
    <w:p>
      <w:pPr>
        <w:spacing w:after="0" w:line="214" w:lineRule="exact"/>
        <w:rPr>
          <w:rFonts w:ascii="Times New Roman" w:cs="Times New Roman" w:eastAsia="Times New Roman" w:hAnsi="Times New Roman"/>
          <w:sz w:val="18"/>
          <w:szCs w:val="18"/>
          <w:color w:val="auto"/>
        </w:rPr>
      </w:pPr>
    </w:p>
    <w:p>
      <w:pPr>
        <w:jc w:val="both"/>
        <w:ind w:left="840" w:hanging="360"/>
        <w:spacing w:after="0" w:line="250"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the Company’s Board of Directors authorized common stock repurchases under a share repurchase program. The authorized amount of the program, which has been increased from time to time, is authorized for up to $700.0 million of the Company’s stock as of May 2, 2026. The share repurchase program is effective through March 31, 2029. As of May 2, 2026, the Company had approximately $205.4 million remaining under its share repurchase program. For further discussion on the share repurchase program, see “Part II, Item 7. Management’s Discussion and Analysis of Financial Condition and Results of Operations, Liquidity and Capital Resources, Share Repurchase Program.”</w:t>
      </w:r>
    </w:p>
    <w:p>
      <w:pPr>
        <w:spacing w:after="0" w:line="18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Arrangements of Directors and Executive Officers</w:t>
      </w:r>
    </w:p>
    <w:p>
      <w:pPr>
        <w:spacing w:after="0" w:line="219" w:lineRule="exact"/>
        <w:rPr>
          <w:sz w:val="20"/>
          <w:szCs w:val="20"/>
          <w:color w:val="auto"/>
        </w:rPr>
      </w:pPr>
    </w:p>
    <w:p>
      <w:pPr>
        <w:ind w:left="480" w:right="860"/>
        <w:spacing w:after="0" w:line="269" w:lineRule="auto"/>
        <w:rPr>
          <w:sz w:val="20"/>
          <w:szCs w:val="20"/>
          <w:color w:val="auto"/>
        </w:rPr>
      </w:pPr>
      <w:r>
        <w:rPr>
          <w:rFonts w:ascii="Times New Roman" w:cs="Times New Roman" w:eastAsia="Times New Roman" w:hAnsi="Times New Roman"/>
          <w:sz w:val="18"/>
          <w:szCs w:val="18"/>
          <w:color w:val="auto"/>
        </w:rPr>
        <w:t>During the quarter ended May 2, 2026, no director or officer of the Company entered into, modified, or terminated a “Rule 10b5-1(c) trading arrangement” or “non-Rule 10b5-1 trading arrangement,” as each term is defined in item 408(a) of Regulation S-K.</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Exhibits</w:t>
            </w:r>
          </w:p>
        </w:tc>
      </w:tr>
      <w:tr>
        <w:trPr>
          <w:trHeight w:val="211"/>
        </w:trPr>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Borders>
              <w:top w:val="single" w:sz="8" w:color="auto"/>
            </w:tcBorders>
          </w:tcPr>
          <w:p>
            <w:pPr>
              <w:spacing w:after="0"/>
              <w:rPr>
                <w:sz w:val="18"/>
                <w:szCs w:val="18"/>
                <w:color w:val="auto"/>
              </w:rPr>
            </w:pPr>
          </w:p>
        </w:tc>
      </w:tr>
      <w:tr>
        <w:trPr>
          <w:trHeight w:val="171"/>
        </w:trPr>
        <w:tc>
          <w:tcPr>
            <w:tcW w:w="102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31.1</w:t>
            </w:r>
          </w:p>
        </w:tc>
        <w:tc>
          <w:tcPr>
            <w:tcW w:w="120" w:type="dxa"/>
            <w:vAlign w:val="bottom"/>
            <w:shd w:val="clear" w:color="auto" w:fill="CCEEFF"/>
          </w:tcPr>
          <w:p>
            <w:pPr>
              <w:spacing w:after="0"/>
              <w:rPr>
                <w:sz w:val="14"/>
                <w:szCs w:val="14"/>
                <w:color w:val="auto"/>
              </w:rPr>
            </w:pPr>
          </w:p>
        </w:tc>
        <w:tc>
          <w:tcPr>
            <w:tcW w:w="101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13a-14(a) or 15d-14(a) of the Securities Exchange Act of 1934, as amended, as</w:t>
            </w: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211"/>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1"/>
        </w:trPr>
        <w:tc>
          <w:tcPr>
            <w:tcW w:w="102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31.2</w:t>
            </w:r>
          </w:p>
        </w:tc>
        <w:tc>
          <w:tcPr>
            <w:tcW w:w="120" w:type="dxa"/>
            <w:vAlign w:val="bottom"/>
            <w:shd w:val="clear" w:color="auto" w:fill="CCEEFF"/>
          </w:tcPr>
          <w:p>
            <w:pPr>
              <w:spacing w:after="0"/>
              <w:rPr>
                <w:sz w:val="14"/>
                <w:szCs w:val="14"/>
                <w:color w:val="auto"/>
              </w:rPr>
            </w:pPr>
          </w:p>
        </w:tc>
        <w:tc>
          <w:tcPr>
            <w:tcW w:w="101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13a-14(a) or 15d-14(a) of the Securities Exchange Act of 1934, as amended, as</w:t>
            </w: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211"/>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1"/>
        </w:trPr>
        <w:tc>
          <w:tcPr>
            <w:tcW w:w="102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32.1</w:t>
            </w:r>
          </w:p>
        </w:tc>
        <w:tc>
          <w:tcPr>
            <w:tcW w:w="120" w:type="dxa"/>
            <w:vAlign w:val="bottom"/>
            <w:shd w:val="clear" w:color="auto" w:fill="CCEEFF"/>
          </w:tcPr>
          <w:p>
            <w:pPr>
              <w:spacing w:after="0"/>
              <w:rPr>
                <w:sz w:val="14"/>
                <w:szCs w:val="14"/>
                <w:color w:val="auto"/>
              </w:rPr>
            </w:pPr>
          </w:p>
        </w:tc>
        <w:tc>
          <w:tcPr>
            <w:tcW w:w="101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w w:val="98"/>
              </w:rPr>
              <w:t>Certification of Chief Executive Officer pursuant to 18 U.S.C. Section 1350, as adopted pursuant to Section 906 of the Sarbanes-Oxley Act of</w:t>
            </w: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2002.</w:t>
            </w:r>
          </w:p>
        </w:tc>
      </w:tr>
      <w:tr>
        <w:trPr>
          <w:trHeight w:val="211"/>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1"/>
        </w:trPr>
        <w:tc>
          <w:tcPr>
            <w:tcW w:w="102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32.2</w:t>
            </w:r>
          </w:p>
        </w:tc>
        <w:tc>
          <w:tcPr>
            <w:tcW w:w="120" w:type="dxa"/>
            <w:vAlign w:val="bottom"/>
            <w:shd w:val="clear" w:color="auto" w:fill="CCEEFF"/>
          </w:tcPr>
          <w:p>
            <w:pPr>
              <w:spacing w:after="0"/>
              <w:rPr>
                <w:sz w:val="14"/>
                <w:szCs w:val="14"/>
                <w:color w:val="auto"/>
              </w:rPr>
            </w:pPr>
          </w:p>
        </w:tc>
        <w:tc>
          <w:tcPr>
            <w:tcW w:w="101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w w:val="98"/>
              </w:rPr>
              <w:t>Certification of Chief Financial Officer pursuant to 18 U.S.C. Section 1350, as adopted pursuant to Section 906 of the Sarbanes-Oxley Act of</w:t>
            </w: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2002.</w:t>
            </w:r>
          </w:p>
        </w:tc>
      </w:tr>
      <w:tr>
        <w:trPr>
          <w:trHeight w:val="211"/>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92"/>
        </w:trPr>
        <w:tc>
          <w:tcPr>
            <w:tcW w:w="1140" w:type="dxa"/>
            <w:vAlign w:val="bottom"/>
            <w:gridSpan w:val="4"/>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**101.INS</w:t>
            </w:r>
          </w:p>
        </w:tc>
        <w:tc>
          <w:tcPr>
            <w:tcW w:w="101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29"/>
        </w:trPr>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1"/>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1"/>
        </w:trPr>
        <w:tc>
          <w:tcPr>
            <w:tcW w:w="1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1"/>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1"/>
        </w:trPr>
        <w:tc>
          <w:tcPr>
            <w:tcW w:w="1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1"/>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1"/>
        </w:trPr>
        <w:tc>
          <w:tcPr>
            <w:tcW w:w="1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1"/>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1"/>
        </w:trPr>
        <w:tc>
          <w:tcPr>
            <w:tcW w:w="1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1"/>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1"/>
        </w:trPr>
        <w:tc>
          <w:tcPr>
            <w:tcW w:w="1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1"/>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1"/>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2" w:lineRule="exact"/>
        <w:rPr>
          <w:sz w:val="20"/>
          <w:szCs w:val="20"/>
          <w:color w:val="auto"/>
        </w:rPr>
      </w:pPr>
    </w:p>
    <w:p>
      <w:pPr>
        <w:ind w:right="9760" w:firstLine="5"/>
        <w:spacing w:after="0" w:line="549" w:lineRule="auto"/>
        <w:tabs>
          <w:tab w:leader="none" w:pos="31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 Filed herewith.</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Submitted electronically with this Report.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549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OLLIE’S BARGAIN OUTLET HOLDINGS, INC.</w:t>
      </w:r>
    </w:p>
    <w:p>
      <w:pPr>
        <w:spacing w:after="0" w:line="21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3, 2026</w:t>
      </w:r>
      <w:r>
        <w:rPr>
          <w:sz w:val="20"/>
          <w:szCs w:val="20"/>
          <w:color w:val="auto"/>
        </w:rPr>
        <w:tab/>
      </w:r>
      <w:r>
        <w:rPr>
          <w:rFonts w:ascii="Times New Roman" w:cs="Times New Roman" w:eastAsia="Times New Roman" w:hAnsi="Times New Roman"/>
          <w:sz w:val="16"/>
          <w:szCs w:val="16"/>
          <w:color w:val="auto"/>
        </w:rPr>
        <w:t>/s/ Robert Helm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13970</wp:posOffset>
            </wp:positionV>
            <wp:extent cx="307022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70225" cy="16510"/>
                    </a:xfrm>
                    <a:prstGeom prst="rect">
                      <a:avLst/>
                    </a:prstGeom>
                    <a:noFill/>
                  </pic:spPr>
                </pic:pic>
              </a:graphicData>
            </a:graphic>
          </wp:anchor>
        </w:drawing>
      </w:r>
    </w:p>
    <w:p>
      <w:pPr>
        <w:spacing w:after="0" w:line="1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Robert Helm</w:t>
      </w:r>
    </w:p>
    <w:p>
      <w:pPr>
        <w:spacing w:after="0" w:line="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13549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940"/>
          </w:cols>
          <w:pgMar w:left="320" w:top="115" w:right="6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5495" cy="33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5495" cy="33655"/>
                    </a:xfrm>
                    <a:prstGeom prst="rect">
                      <a:avLst/>
                    </a:prstGeom>
                    <a:noFill/>
                  </pic:spPr>
                </pic:pic>
              </a:graphicData>
            </a:graphic>
          </wp:anchor>
        </w:drawing>
        <w:t>Exhibit 31.1</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van der Valk, certify that:</w:t>
      </w:r>
    </w:p>
    <w:p>
      <w:pPr>
        <w:spacing w:after="0" w:line="215" w:lineRule="exact"/>
        <w:rPr>
          <w:sz w:val="20"/>
          <w:szCs w:val="20"/>
          <w:color w:val="auto"/>
        </w:rPr>
      </w:pPr>
    </w:p>
    <w:p>
      <w:pPr>
        <w:ind w:left="460" w:hanging="217"/>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Ollie’s Bargain Outlet Holdings, Inc.;</w:t>
      </w:r>
    </w:p>
    <w:p>
      <w:pPr>
        <w:spacing w:after="0" w:line="214" w:lineRule="exact"/>
        <w:rPr>
          <w:rFonts w:ascii="Times New Roman" w:cs="Times New Roman" w:eastAsia="Times New Roman" w:hAnsi="Times New Roman"/>
          <w:sz w:val="18"/>
          <w:szCs w:val="18"/>
          <w:color w:val="auto"/>
        </w:rPr>
      </w:pPr>
    </w:p>
    <w:p>
      <w:pPr>
        <w:ind w:left="460" w:right="80" w:hanging="217"/>
        <w:spacing w:after="0" w:line="332" w:lineRule="auto"/>
        <w:tabs>
          <w:tab w:leader="none" w:pos="4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460" w:right="520" w:hanging="217"/>
        <w:spacing w:after="0" w:line="269"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8"/>
          <w:szCs w:val="18"/>
          <w:color w:val="auto"/>
        </w:rPr>
      </w:pPr>
    </w:p>
    <w:p>
      <w:pPr>
        <w:ind w:left="460" w:right="20" w:hanging="217"/>
        <w:spacing w:after="0" w:line="256"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700" w:right="80" w:hanging="234"/>
        <w:spacing w:after="0" w:line="256"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ind w:left="700" w:right="80" w:hanging="223"/>
        <w:spacing w:after="0" w:line="25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ind w:left="700" w:right="120" w:hanging="234"/>
        <w:spacing w:after="0" w:line="269"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sz w:val="20"/>
          <w:szCs w:val="20"/>
          <w:color w:val="auto"/>
        </w:rPr>
      </w:pPr>
    </w:p>
    <w:p>
      <w:pPr>
        <w:jc w:val="both"/>
        <w:ind w:left="700" w:right="160" w:hanging="223"/>
        <w:spacing w:after="0" w:line="25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460" w:right="460" w:hanging="217"/>
        <w:spacing w:after="0" w:line="269"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sz w:val="20"/>
          <w:szCs w:val="20"/>
          <w:color w:val="auto"/>
        </w:rPr>
      </w:pPr>
    </w:p>
    <w:p>
      <w:pPr>
        <w:ind w:left="700" w:right="40" w:hanging="234"/>
        <w:spacing w:after="0" w:line="269"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sz w:val="20"/>
          <w:szCs w:val="20"/>
          <w:color w:val="auto"/>
        </w:rPr>
      </w:pPr>
    </w:p>
    <w:p>
      <w:pPr>
        <w:ind w:left="700" w:right="100" w:hanging="223"/>
        <w:spacing w:after="0" w:line="269"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0"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18"/>
          <w:szCs w:val="18"/>
          <w:color w:val="auto"/>
        </w:rPr>
        <w:t>Date: June 3, 2026</w:t>
      </w:r>
      <w:r>
        <w:rPr>
          <w:sz w:val="20"/>
          <w:szCs w:val="20"/>
          <w:color w:val="auto"/>
        </w:rPr>
        <w:tab/>
      </w:r>
      <w:r>
        <w:rPr>
          <w:rFonts w:ascii="Times New Roman" w:cs="Times New Roman" w:eastAsia="Times New Roman" w:hAnsi="Times New Roman"/>
          <w:sz w:val="16"/>
          <w:szCs w:val="16"/>
          <w:color w:val="auto"/>
        </w:rPr>
        <w:t>/s/ Eric van der Valk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3608705</wp:posOffset>
            </wp:positionH>
            <wp:positionV relativeFrom="paragraph">
              <wp:posOffset>22225</wp:posOffset>
            </wp:positionV>
            <wp:extent cx="178181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1810" cy="16510"/>
                    </a:xfrm>
                    <a:prstGeom prst="rect">
                      <a:avLst/>
                    </a:prstGeom>
                    <a:noFill/>
                  </pic:spPr>
                </pic:pic>
              </a:graphicData>
            </a:graphic>
          </wp:anchor>
        </w:drawing>
      </w:r>
    </w:p>
    <w:p>
      <w:pPr>
        <w:spacing w:after="0" w:line="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Eric van der Valk</w:t>
      </w:r>
    </w:p>
    <w:p>
      <w:pPr>
        <w:spacing w:after="0" w:line="2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320675</wp:posOffset>
            </wp:positionV>
            <wp:extent cx="713549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5495" cy="33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5495" cy="33655"/>
                    </a:xfrm>
                    <a:prstGeom prst="rect">
                      <a:avLst/>
                    </a:prstGeom>
                    <a:noFill/>
                  </pic:spPr>
                </pic:pic>
              </a:graphicData>
            </a:graphic>
          </wp:anchor>
        </w:drawing>
        <w:t>Exhibit 31.2</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Helm, certify that:</w:t>
      </w:r>
    </w:p>
    <w:p>
      <w:pPr>
        <w:spacing w:after="0" w:line="215" w:lineRule="exact"/>
        <w:rPr>
          <w:sz w:val="20"/>
          <w:szCs w:val="20"/>
          <w:color w:val="auto"/>
        </w:rPr>
      </w:pPr>
    </w:p>
    <w:p>
      <w:pPr>
        <w:ind w:left="460" w:hanging="217"/>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Ollie’s Bargain Outlet Holdings, Inc.;</w:t>
      </w:r>
    </w:p>
    <w:p>
      <w:pPr>
        <w:spacing w:after="0" w:line="214" w:lineRule="exact"/>
        <w:rPr>
          <w:rFonts w:ascii="Times New Roman" w:cs="Times New Roman" w:eastAsia="Times New Roman" w:hAnsi="Times New Roman"/>
          <w:sz w:val="18"/>
          <w:szCs w:val="18"/>
          <w:color w:val="auto"/>
        </w:rPr>
      </w:pPr>
    </w:p>
    <w:p>
      <w:pPr>
        <w:ind w:left="460" w:right="80" w:hanging="217"/>
        <w:spacing w:after="0" w:line="332" w:lineRule="auto"/>
        <w:tabs>
          <w:tab w:leader="none" w:pos="4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460" w:right="520" w:hanging="217"/>
        <w:spacing w:after="0" w:line="269"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8"/>
          <w:szCs w:val="18"/>
          <w:color w:val="auto"/>
        </w:rPr>
      </w:pPr>
    </w:p>
    <w:p>
      <w:pPr>
        <w:ind w:left="460" w:right="20" w:hanging="217"/>
        <w:spacing w:after="0" w:line="256"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700" w:right="80" w:hanging="234"/>
        <w:spacing w:after="0" w:line="256" w:lineRule="auto"/>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ind w:left="700" w:right="80" w:hanging="223"/>
        <w:spacing w:after="0" w:line="25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ind w:left="700" w:right="120" w:hanging="234"/>
        <w:spacing w:after="0" w:line="269" w:lineRule="auto"/>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sz w:val="20"/>
          <w:szCs w:val="20"/>
          <w:color w:val="auto"/>
        </w:rPr>
      </w:pPr>
    </w:p>
    <w:p>
      <w:pPr>
        <w:jc w:val="both"/>
        <w:ind w:left="700" w:right="160" w:hanging="223"/>
        <w:spacing w:after="0" w:line="25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460" w:right="460" w:hanging="217"/>
        <w:spacing w:after="0" w:line="269"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sz w:val="20"/>
          <w:szCs w:val="20"/>
          <w:color w:val="auto"/>
        </w:rPr>
      </w:pPr>
    </w:p>
    <w:p>
      <w:pPr>
        <w:ind w:left="700" w:right="40" w:hanging="234"/>
        <w:spacing w:after="0" w:line="269" w:lineRule="auto"/>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sz w:val="20"/>
          <w:szCs w:val="20"/>
          <w:color w:val="auto"/>
        </w:rPr>
      </w:pPr>
    </w:p>
    <w:p>
      <w:pPr>
        <w:ind w:left="700" w:right="100" w:hanging="223"/>
        <w:spacing w:after="0" w:line="269"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3, 2026</w:t>
      </w:r>
      <w:r>
        <w:rPr>
          <w:sz w:val="20"/>
          <w:szCs w:val="20"/>
          <w:color w:val="auto"/>
        </w:rPr>
        <w:tab/>
      </w:r>
      <w:r>
        <w:rPr>
          <w:rFonts w:ascii="Times New Roman" w:cs="Times New Roman" w:eastAsia="Times New Roman" w:hAnsi="Times New Roman"/>
          <w:sz w:val="16"/>
          <w:szCs w:val="16"/>
          <w:color w:val="auto"/>
        </w:rPr>
        <w:t>/s/ Robert Helm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22225</wp:posOffset>
            </wp:positionV>
            <wp:extent cx="178181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81810" cy="16510"/>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Robert Helm</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w:t>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320675</wp:posOffset>
            </wp:positionV>
            <wp:extent cx="713549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5495" cy="33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5495" cy="33655"/>
                    </a:xfrm>
                    <a:prstGeom prst="rect">
                      <a:avLst/>
                    </a:prstGeom>
                    <a:noFill/>
                  </pic:spPr>
                </pic:pic>
              </a:graphicData>
            </a:graphic>
          </wp:anchor>
        </w:drawing>
        <w:t>Exhibit 32.1</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Ollie’s Bargain Outlet Holdings, Inc. (the “Company”) on Form 10-Q for the quarter ended May 2, 2026, as filed with the Securities and Exchange Commission on the date hereof (the “Report”), I, Eric van der Valk, President and Chief Executive Officer of the Company, certify, pursuant to 18 U.S.C. §1350, adopted pursuant to §906 of the Sarbanes-Oxley Act of 2002, that:</w:t>
      </w:r>
    </w:p>
    <w:p>
      <w:pPr>
        <w:spacing w:after="0" w:line="181" w:lineRule="exact"/>
        <w:rPr>
          <w:sz w:val="20"/>
          <w:szCs w:val="20"/>
          <w:color w:val="auto"/>
        </w:rPr>
      </w:pPr>
    </w:p>
    <w:p>
      <w:pPr>
        <w:ind w:left="240" w:hanging="235"/>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4" w:lineRule="exact"/>
        <w:rPr>
          <w:rFonts w:ascii="Times New Roman" w:cs="Times New Roman" w:eastAsia="Times New Roman" w:hAnsi="Times New Roman"/>
          <w:sz w:val="18"/>
          <w:szCs w:val="18"/>
          <w:color w:val="auto"/>
        </w:rPr>
      </w:pPr>
    </w:p>
    <w:p>
      <w:pPr>
        <w:ind w:left="240" w:hanging="235"/>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2026</w:t>
      </w:r>
    </w:p>
    <w:p>
      <w:pPr>
        <w:spacing w:after="0" w:line="2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 Eric van der Valk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13970</wp:posOffset>
            </wp:positionV>
            <wp:extent cx="142240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22400" cy="1651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Eric van der Valk</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President and Chief Executive</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320675</wp:posOffset>
            </wp:positionV>
            <wp:extent cx="713549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5495" cy="33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5495" cy="33655"/>
                    </a:xfrm>
                    <a:prstGeom prst="rect">
                      <a:avLst/>
                    </a:prstGeom>
                    <a:noFill/>
                  </pic:spPr>
                </pic:pic>
              </a:graphicData>
            </a:graphic>
          </wp:anchor>
        </w:drawing>
        <w:t>Exhibit 32.2</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Ollie’s Bargain Outlet Holdings, Inc. (the “Company”) on Form 10-Q for the quarter ended May 2, 2026, as filed with the Securities and Exchange Commission on the date hereof (the “Report”), I, Robert Helm, Chief Financial Officer of the Company, certify, pursuant to 18 U.S.C. §1350, adopted pursuant to §906 of the Sarbanes-Oxley Act of 2002, that:</w:t>
      </w:r>
    </w:p>
    <w:p>
      <w:pPr>
        <w:spacing w:after="0" w:line="181" w:lineRule="exact"/>
        <w:rPr>
          <w:sz w:val="20"/>
          <w:szCs w:val="20"/>
          <w:color w:val="auto"/>
        </w:rPr>
      </w:pPr>
    </w:p>
    <w:p>
      <w:pPr>
        <w:ind w:left="240" w:hanging="235"/>
        <w:spacing w:after="0"/>
        <w:tabs>
          <w:tab w:leader="none" w:pos="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4" w:lineRule="exact"/>
        <w:rPr>
          <w:rFonts w:ascii="Times New Roman" w:cs="Times New Roman" w:eastAsia="Times New Roman" w:hAnsi="Times New Roman"/>
          <w:sz w:val="18"/>
          <w:szCs w:val="18"/>
          <w:color w:val="auto"/>
        </w:rPr>
      </w:pPr>
    </w:p>
    <w:p>
      <w:pPr>
        <w:ind w:left="240" w:hanging="235"/>
        <w:spacing w:after="0"/>
        <w:tabs>
          <w:tab w:leader="none" w:pos="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2026</w:t>
      </w:r>
    </w:p>
    <w:p>
      <w:pPr>
        <w:spacing w:after="0" w:line="2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 Robert Helm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13970</wp:posOffset>
            </wp:positionV>
            <wp:extent cx="142240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22400" cy="1651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Robert Helm</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320675</wp:posOffset>
            </wp:positionV>
            <wp:extent cx="713549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sectPr>
      <w:pgSz w:w="11900" w:h="16838" w:orient="portrait"/>
      <w:cols w:equalWidth="0" w:num="1">
        <w:col w:w="11240"/>
      </w:cols>
      <w:pgMar w:left="320" w:top="2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lvl w:ilvl="1">
      <w:lvlJc w:val="left"/>
      <w:lvlText w:val="(%2)"/>
      <w:numFmt w:val="lowerLetter"/>
      <w:start w:val="1"/>
    </w:lvl>
  </w:abstractNum>
  <w:abstractNum w:abstractNumId="4">
    <w:nsid w:val="3F2DBA31"/>
    <w:multiLevelType w:val="hybridMultilevel"/>
    <w:lvl w:ilvl="0">
      <w:lvlJc w:val="left"/>
      <w:lvlText w:val="(%1)"/>
      <w:numFmt w:val="lowerLetter"/>
      <w:start w:val="5"/>
    </w:lvl>
    <w:lvl w:ilvl="1">
      <w:lvlJc w:val="left"/>
      <w:lvlText w:val="●"/>
      <w:numFmt w:val="bullet"/>
      <w:start w:val="1"/>
    </w:lvl>
  </w:abstractNum>
  <w:abstractNum w:abstractNumId="5">
    <w:nsid w:val="7C83E458"/>
    <w:multiLevelType w:val="hybridMultilevel"/>
    <w:lvl w:ilvl="0">
      <w:lvlJc w:val="left"/>
      <w:lvlText w:val="(%1)"/>
      <w:numFmt w:val="lowerLetter"/>
      <w:start w:val="6"/>
    </w:lvl>
  </w:abstractNum>
  <w:abstractNum w:abstractNumId="6">
    <w:nsid w:val="257130A3"/>
    <w:multiLevelType w:val="hybridMultilevel"/>
    <w:lvl w:ilvl="0">
      <w:lvlJc w:val="left"/>
      <w:lvlText w:val="(%1)"/>
      <w:numFmt w:val="decimal"/>
      <w:start w:val="2"/>
    </w:lvl>
  </w:abstractNum>
  <w:abstractNum w:abstractNumId="7">
    <w:nsid w:val="62BBD95A"/>
    <w:multiLevelType w:val="hybridMultilevel"/>
    <w:lvl w:ilvl="0">
      <w:lvlJc w:val="left"/>
      <w:lvlText w:val="(%1)"/>
      <w:numFmt w:val="decimal"/>
      <w:start w:val="3"/>
    </w:lvl>
  </w:abstractNum>
  <w:abstractNum w:abstractNumId="8">
    <w:nsid w:val="436C6125"/>
    <w:multiLevelType w:val="hybridMultilevel"/>
    <w:lvl w:ilvl="0">
      <w:lvlJc w:val="left"/>
      <w:lvlText w:val="(%1)"/>
      <w:numFmt w:val="decimal"/>
      <w:start w:val="4"/>
    </w:lvl>
  </w:abstractNum>
  <w:abstractNum w:abstractNumId="9">
    <w:nsid w:val="628C895D"/>
    <w:multiLevelType w:val="hybridMultilevel"/>
    <w:lvl w:ilvl="0">
      <w:lvlJc w:val="left"/>
      <w:lvlText w:val="(%1)"/>
      <w:numFmt w:val="decimal"/>
      <w:start w:val="5"/>
    </w:lvl>
  </w:abstractNum>
  <w:abstractNum w:abstractNumId="10">
    <w:nsid w:val="333AB105"/>
    <w:multiLevelType w:val="hybridMultilevel"/>
    <w:lvl w:ilvl="0">
      <w:lvlJc w:val="left"/>
      <w:lvlText w:val="(%1)"/>
      <w:numFmt w:val="decimal"/>
      <w:start w:val="6"/>
    </w:lvl>
  </w:abstractNum>
  <w:abstractNum w:abstractNumId="11">
    <w:nsid w:val="721DA317"/>
    <w:multiLevelType w:val="hybridMultilevel"/>
    <w:lvl w:ilvl="0">
      <w:lvlJc w:val="left"/>
      <w:lvlText w:val="(%1)"/>
      <w:numFmt w:val="decimal"/>
      <w:start w:val="7"/>
    </w:lvl>
  </w:abstractNum>
  <w:abstractNum w:abstractNumId="12">
    <w:nsid w:val="2443A858"/>
    <w:multiLevelType w:val="hybridMultilevel"/>
    <w:lvl w:ilvl="0">
      <w:lvlJc w:val="left"/>
      <w:lvlText w:val="(%1)"/>
      <w:numFmt w:val="decimal"/>
      <w:start w:val="8"/>
    </w:lvl>
  </w:abstractNum>
  <w:abstractNum w:abstractNumId="13">
    <w:nsid w:val="2D1D5AE9"/>
    <w:multiLevelType w:val="hybridMultilevel"/>
    <w:lvl w:ilvl="0">
      <w:lvlJc w:val="left"/>
      <w:lvlText w:val="(%1)"/>
      <w:numFmt w:val="decimal"/>
      <w:start w:val="10"/>
    </w:lvl>
  </w:abstractNum>
  <w:abstractNum w:abstractNumId="14">
    <w:nsid w:val="6763845E"/>
    <w:multiLevelType w:val="hybridMultilevel"/>
    <w:lvl w:ilvl="0">
      <w:lvlJc w:val="left"/>
      <w:lvlText w:val="(%1)"/>
      <w:numFmt w:val="decimal"/>
      <w:start w:val="1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lowerLetter"/>
      <w:start w:val="3"/>
    </w:lvl>
  </w:abstractNum>
  <w:abstractNum w:abstractNumId="23">
    <w:nsid w:val="2CA88611"/>
    <w:multiLevelType w:val="hybridMultilevel"/>
    <w:lvl w:ilvl="0">
      <w:lvlJc w:val="left"/>
      <w:lvlText w:val="%1."/>
      <w:numFmt w:val="decimal"/>
      <w:start w:val="5"/>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Letter"/>
      <w:start w:val="3"/>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2026-06-03T15:21:52Z</dcterms:created>
  <dcterms:modified xsi:type="dcterms:W3CDTF">2026-06-03T15:21:52Z</dcterms:modified>
</cp:coreProperties>
</file>