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UNITED STATES</w:t>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br/>
        <w:t>Pursuant to Section 13 or 15(d) of the Securities Exchange Act of 1934</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Date of report: September 2, 2026</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earliest event reported)</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Ollie's Bargain Outlet Holdings, Inc.</w:t>
      </w:r>
    </w:p>
    <w:p>
      <w:pPr>
        <w:pStyle w:val="HorizontalLine"/>
        <w:bidi w:val="0"/>
        <w:jc w:val="center"/>
        <w:rPr/>
      </w:pPr>
      <w:r>
        <w:rPr/>
      </w:r>
    </w:p>
    <w:p>
      <w:pPr>
        <w:pStyle w:val="TextBody"/>
        <w:bidi w:val="0"/>
        <w:spacing w:before="0" w:after="0"/>
        <w:jc w:val="center"/>
        <w:rPr>
          <w:color w:val="000000"/>
          <w:shd w:fill="FFFFFF" w:val="clear"/>
        </w:rPr>
      </w:pPr>
      <w:r>
        <w:rPr>
          <w:color w:val="000000"/>
          <w:shd w:fill="FFFFFF" w:val="clear"/>
        </w:rPr>
        <w:t> </w:t>
      </w:r>
      <w:r>
        <w:rPr>
          <w:rFonts w:ascii="Times New Roman" w:hAnsi="Times New Roman"/>
          <w:color w:val="000000"/>
          <w:sz w:val="20"/>
          <w:shd w:fill="FFFFFF" w:val="clear"/>
        </w:rPr>
        <w:t>(Exact name of registrant as specified in its charter)</w:t>
      </w:r>
    </w:p>
    <w:p>
      <w:pPr>
        <w:pStyle w:val="TextBody"/>
        <w:bidi w:val="0"/>
        <w:spacing w:before="0" w:after="0"/>
        <w:jc w:val="left"/>
        <w:rPr>
          <w:sz w:val="20"/>
        </w:rPr>
      </w:pPr>
      <w:r>
        <w:rPr>
          <w:sz w:val="20"/>
        </w:rPr>
      </w:r>
    </w:p>
    <w:p>
      <w:pPr>
        <w:pStyle w:val="TextBody"/>
        <w:bidi w:val="0"/>
        <w:spacing w:before="0" w:after="0"/>
        <w:ind w:left="720" w:right="0" w:hanging="72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HorizontalLine"/>
        <w:bidi w:val="0"/>
        <w:jc w:val="center"/>
        <w:rPr/>
      </w:pPr>
      <w:r>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left"/>
        <w:rPr>
          <w:sz w:val="20"/>
        </w:rPr>
      </w:pPr>
      <w:r>
        <w:rPr>
          <w:sz w:val="20"/>
        </w:rPr>
      </w:r>
    </w:p>
    <w:tbl>
      <w:tblPr>
        <w:tblW w:w="6085" w:type="dxa"/>
        <w:jc w:val="left"/>
        <w:tblInd w:w="0" w:type="dxa"/>
        <w:tblLayout w:type="fixed"/>
        <w:tblCellMar>
          <w:top w:w="0" w:type="dxa"/>
          <w:left w:w="0" w:type="dxa"/>
          <w:bottom w:w="0" w:type="dxa"/>
          <w:right w:w="0" w:type="dxa"/>
        </w:tblCellMar>
      </w:tblPr>
      <w:tblGrid>
        <w:gridCol w:w="3200"/>
        <w:gridCol w:w="60"/>
        <w:gridCol w:w="2825"/>
      </w:tblGrid>
      <w:tr>
        <w:trPr/>
        <w:tc>
          <w:tcPr>
            <w:tcW w:w="3200"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001-37501</w:t>
            </w:r>
          </w:p>
        </w:tc>
        <w:tc>
          <w:tcPr>
            <w:tcW w:w="60" w:type="dxa"/>
            <w:tcBorders/>
            <w:vAlign w:val="center"/>
          </w:tcPr>
          <w:p>
            <w:pPr>
              <w:pStyle w:val="TableContents"/>
              <w:bidi w:val="0"/>
              <w:spacing w:before="0" w:after="0"/>
              <w:jc w:val="center"/>
              <w:rPr>
                <w:color w:val="000000"/>
              </w:rPr>
            </w:pPr>
            <w:r>
              <w:rPr>
                <w:color w:val="000000"/>
              </w:rPr>
              <w:t> </w:t>
            </w:r>
          </w:p>
        </w:tc>
        <w:tc>
          <w:tcPr>
            <w:tcW w:w="2825" w:type="dxa"/>
            <w:tcBorders/>
            <w:vAlign w:val="center"/>
          </w:tcPr>
          <w:p>
            <w:pPr>
              <w:pStyle w:val="TableContents"/>
              <w:bidi w:val="0"/>
              <w:spacing w:before="0" w:after="283"/>
              <w:jc w:val="center"/>
              <w:rPr>
                <w:b/>
                <w:sz w:val="20"/>
              </w:rPr>
            </w:pPr>
            <w:r>
              <w:rPr>
                <w:b/>
                <w:sz w:val="20"/>
              </w:rPr>
              <w:t>80-0848819</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(Commission File Number)</w:t>
            </w:r>
          </w:p>
        </w:tc>
        <w:tc>
          <w:tcPr>
            <w:tcW w:w="60" w:type="dxa"/>
            <w:tcBorders/>
            <w:vAlign w:val="center"/>
          </w:tcPr>
          <w:p>
            <w:pPr>
              <w:pStyle w:val="TableContents"/>
              <w:bidi w:val="0"/>
              <w:spacing w:before="0" w:after="0"/>
              <w:jc w:val="center"/>
              <w:rPr>
                <w:color w:val="000000"/>
              </w:rPr>
            </w:pPr>
            <w:r>
              <w:rPr>
                <w:color w:val="000000"/>
              </w:rPr>
              <w:t> </w:t>
            </w:r>
          </w:p>
        </w:tc>
        <w:tc>
          <w:tcPr>
            <w:tcW w:w="2825" w:type="dxa"/>
            <w:tcBorders/>
            <w:vAlign w:val="center"/>
          </w:tcPr>
          <w:p>
            <w:pPr>
              <w:pStyle w:val="TableContents"/>
              <w:bidi w:val="0"/>
              <w:spacing w:before="0" w:after="0"/>
              <w:jc w:val="center"/>
              <w:rPr>
                <w:color w:val="000000"/>
              </w:rPr>
            </w:pPr>
            <w:r>
              <w:rPr>
                <w:color w:val="000000"/>
              </w:rPr>
              <w:t> </w:t>
            </w:r>
            <w:r>
              <w:rPr>
                <w:rFonts w:ascii="Times New Roman" w:hAnsi="Times New Roman"/>
                <w:color w:val="000000"/>
                <w:sz w:val="20"/>
              </w:rPr>
              <w:t>(IRS Employer Identification No.)</w:t>
            </w:r>
          </w:p>
        </w:tc>
      </w:tr>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6295 Allentown Boulevard</w:t>
            </w:r>
          </w:p>
        </w:tc>
        <w:tc>
          <w:tcPr>
            <w:tcW w:w="60" w:type="dxa"/>
            <w:tcBorders/>
            <w:vAlign w:val="center"/>
          </w:tcPr>
          <w:p>
            <w:pPr>
              <w:pStyle w:val="TableContents"/>
              <w:bidi w:val="0"/>
              <w:spacing w:before="0" w:after="0"/>
              <w:jc w:val="center"/>
              <w:rPr>
                <w:color w:val="000000"/>
              </w:rPr>
            </w:pPr>
            <w:r>
              <w:rPr>
                <w:color w:val="000000"/>
              </w:rPr>
              <w:t> </w:t>
            </w:r>
          </w:p>
        </w:tc>
        <w:tc>
          <w:tcPr>
            <w:tcW w:w="2825" w:type="dxa"/>
            <w:tcBorders/>
            <w:vAlign w:val="center"/>
          </w:tcPr>
          <w:p>
            <w:pPr>
              <w:pStyle w:val="TableContents"/>
              <w:bidi w:val="0"/>
              <w:spacing w:before="0" w:after="0"/>
              <w:jc w:val="center"/>
              <w:rPr>
                <w:color w:val="000000"/>
              </w:rPr>
            </w:pPr>
            <w:r>
              <w:rPr>
                <w:color w:val="000000"/>
              </w:rPr>
              <w:t> </w:t>
            </w:r>
          </w:p>
        </w:tc>
      </w:tr>
      <w:tr>
        <w:trPr/>
        <w:tc>
          <w:tcPr>
            <w:tcW w:w="3200" w:type="dxa"/>
            <w:tcBorders/>
            <w:vAlign w:val="center"/>
          </w:tcPr>
          <w:p>
            <w:pPr>
              <w:pStyle w:val="TableContents"/>
              <w:bidi w:val="0"/>
              <w:spacing w:before="0" w:after="283"/>
              <w:jc w:val="center"/>
              <w:rPr>
                <w:b/>
                <w:sz w:val="20"/>
              </w:rPr>
            </w:pPr>
            <w:r>
              <w:rPr>
                <w:b/>
                <w:sz w:val="20"/>
              </w:rPr>
              <w:t>Suite 1</w:t>
            </w:r>
          </w:p>
        </w:tc>
        <w:tc>
          <w:tcPr>
            <w:tcW w:w="60" w:type="dxa"/>
            <w:tcBorders/>
            <w:vAlign w:val="center"/>
          </w:tcPr>
          <w:p>
            <w:pPr>
              <w:pStyle w:val="TableContents"/>
              <w:bidi w:val="0"/>
              <w:spacing w:before="0" w:after="0"/>
              <w:jc w:val="center"/>
              <w:rPr>
                <w:color w:val="000000"/>
              </w:rPr>
            </w:pPr>
            <w:r>
              <w:rPr>
                <w:color w:val="000000"/>
              </w:rPr>
              <w:t> </w:t>
            </w:r>
          </w:p>
        </w:tc>
        <w:tc>
          <w:tcPr>
            <w:tcW w:w="2825" w:type="dxa"/>
            <w:tcBorders/>
            <w:vAlign w:val="center"/>
          </w:tcPr>
          <w:p>
            <w:pPr>
              <w:pStyle w:val="TableContents"/>
              <w:bidi w:val="0"/>
              <w:spacing w:before="0" w:after="283"/>
              <w:jc w:val="left"/>
              <w:rPr/>
            </w:pPr>
            <w:r>
              <w:rPr/>
              <w:t> </w:t>
            </w:r>
          </w:p>
        </w:tc>
      </w:tr>
      <w:tr>
        <w:trPr/>
        <w:tc>
          <w:tcPr>
            <w:tcW w:w="320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Harrisburg, Pennsylvania</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center"/>
              <w:rPr>
                <w:rFonts w:ascii="Times New Roman" w:hAnsi="Times New Roman"/>
                <w:b/>
                <w:color w:val="000000"/>
                <w:sz w:val="20"/>
              </w:rPr>
            </w:pPr>
            <w:r>
              <w:rPr>
                <w:rFonts w:ascii="Times New Roman" w:hAnsi="Times New Roman"/>
                <w:b/>
                <w:color w:val="000000"/>
                <w:sz w:val="20"/>
              </w:rPr>
              <w:t>17112</w:t>
            </w:r>
          </w:p>
        </w:tc>
      </w:tr>
      <w:tr>
        <w:trPr/>
        <w:tc>
          <w:tcPr>
            <w:tcW w:w="3200"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(Address of principal executive offices)</w:t>
            </w:r>
          </w:p>
        </w:tc>
        <w:tc>
          <w:tcPr>
            <w:tcW w:w="60" w:type="dxa"/>
            <w:tcBorders/>
            <w:vAlign w:val="center"/>
          </w:tcPr>
          <w:p>
            <w:pPr>
              <w:pStyle w:val="TableContents"/>
              <w:bidi w:val="0"/>
              <w:spacing w:before="0" w:after="0"/>
              <w:jc w:val="center"/>
              <w:rPr>
                <w:color w:val="000000"/>
              </w:rPr>
            </w:pPr>
            <w:r>
              <w:rPr>
                <w:color w:val="000000"/>
              </w:rPr>
              <w:t> </w:t>
            </w:r>
          </w:p>
        </w:tc>
        <w:tc>
          <w:tcPr>
            <w:tcW w:w="2825" w:type="dxa"/>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(Zip Code)</w:t>
            </w:r>
          </w:p>
        </w:tc>
      </w:tr>
    </w:tbl>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(717) 657-2300</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(Registrant’s telephone number, including area code)</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 (</w:t>
      </w:r>
      <w:r>
        <w:rPr>
          <w:rFonts w:ascii="Times New Roman" w:hAnsi="Times New Roman"/>
          <w:i/>
          <w:color w:val="000000"/>
          <w:sz w:val="20"/>
          <w:shd w:fill="FFFFFF" w:val="clear"/>
        </w:rPr>
        <w:t xml:space="preserve">see </w:t>
      </w:r>
      <w:r>
        <w:rPr>
          <w:rFonts w:ascii="Times New Roman" w:hAnsi="Times New Roman"/>
          <w:color w:val="000000"/>
          <w:sz w:val="20"/>
          <w:shd w:fill="FFFFFF" w:val="clear"/>
        </w:rPr>
        <w:t>General Instruction A.2. below):</w:t>
      </w:r>
    </w:p>
    <w:p>
      <w:pPr>
        <w:pStyle w:val="TextBody"/>
        <w:bidi w:val="0"/>
        <w:spacing w:before="0" w:after="0"/>
        <w:jc w:val="left"/>
        <w:rPr>
          <w:sz w:val="20"/>
        </w:rPr>
      </w:pPr>
      <w:r>
        <w:rPr>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sz w:val="20"/>
        </w:rPr>
      </w:pPr>
      <w:r>
        <w:rPr>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sz w:val="20"/>
        </w:rPr>
      </w:pPr>
      <w:r>
        <w:rPr>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sz w:val="20"/>
        </w:rPr>
      </w:pPr>
      <w:r>
        <w:rPr>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sz w:val="20"/>
        </w:rPr>
      </w:pPr>
      <w:r>
        <w:rPr>
          <w:sz w:val="20"/>
        </w:rPr>
      </w:r>
    </w:p>
    <w:tbl>
      <w:tblPr>
        <w:tblW w:w="7650" w:type="dxa"/>
        <w:jc w:val="left"/>
        <w:tblInd w:w="-15" w:type="dxa"/>
        <w:tblLayout w:type="fixed"/>
        <w:tblCellMar>
          <w:top w:w="28" w:type="dxa"/>
          <w:left w:w="28" w:type="dxa"/>
          <w:bottom w:w="28" w:type="dxa"/>
          <w:right w:w="28" w:type="dxa"/>
        </w:tblCellMar>
      </w:tblPr>
      <w:tblGrid>
        <w:gridCol w:w="2735"/>
        <w:gridCol w:w="1340"/>
        <w:gridCol w:w="3575"/>
      </w:tblGrid>
      <w:tr>
        <w:trPr/>
        <w:tc>
          <w:tcPr>
            <w:tcW w:w="273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90" w:right="0" w:hanging="0"/>
              <w:jc w:val="center"/>
              <w:rPr>
                <w:rFonts w:ascii="Times New Roman" w:hAnsi="Times New Roman"/>
                <w:sz w:val="20"/>
              </w:rPr>
            </w:pPr>
            <w:r>
              <w:rPr>
                <w:rFonts w:ascii="Times New Roman" w:hAnsi="Times New Roman"/>
                <w:sz w:val="20"/>
              </w:rPr>
              <w:t>Title of Each Class</w:t>
            </w:r>
          </w:p>
        </w:tc>
        <w:tc>
          <w:tcPr>
            <w:tcW w:w="1340"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90" w:right="0" w:hanging="0"/>
              <w:jc w:val="center"/>
              <w:rPr>
                <w:rFonts w:ascii="Times New Roman" w:hAnsi="Times New Roman"/>
                <w:sz w:val="20"/>
              </w:rPr>
            </w:pPr>
            <w:r>
              <w:rPr>
                <w:rFonts w:ascii="Times New Roman" w:hAnsi="Times New Roman"/>
                <w:sz w:val="20"/>
              </w:rPr>
              <w:t>Trading Symbol</w:t>
            </w:r>
          </w:p>
        </w:tc>
        <w:tc>
          <w:tcPr>
            <w:tcW w:w="3575" w:type="dxa"/>
            <w:tcBorders>
              <w:top w:val="single" w:sz="12" w:space="0" w:color="000000"/>
              <w:left w:val="single" w:sz="12" w:space="0" w:color="000000"/>
              <w:bottom w:val="single" w:sz="12" w:space="0" w:color="000000"/>
              <w:right w:val="single" w:sz="12" w:space="0" w:color="000000"/>
            </w:tcBorders>
            <w:vAlign w:val="center"/>
          </w:tcPr>
          <w:p>
            <w:pPr>
              <w:pStyle w:val="TableContents"/>
              <w:bidi w:val="0"/>
              <w:spacing w:before="0" w:after="0"/>
              <w:ind w:left="90" w:right="0" w:hanging="0"/>
              <w:jc w:val="center"/>
              <w:rPr>
                <w:rFonts w:ascii="Times New Roman" w:hAnsi="Times New Roman"/>
                <w:sz w:val="20"/>
              </w:rPr>
            </w:pPr>
            <w:r>
              <w:rPr>
                <w:rFonts w:ascii="Times New Roman" w:hAnsi="Times New Roman"/>
                <w:sz w:val="20"/>
              </w:rPr>
              <w:t>Name of each exchange on which registered</w:t>
            </w:r>
          </w:p>
        </w:tc>
      </w:tr>
      <w:tr>
        <w:trPr/>
        <w:tc>
          <w:tcPr>
            <w:tcW w:w="273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283"/>
              <w:jc w:val="center"/>
              <w:rPr>
                <w:sz w:val="20"/>
              </w:rPr>
            </w:pPr>
            <w:r>
              <w:rPr>
                <w:sz w:val="20"/>
              </w:rPr>
              <w:t>Common Stock, $0.001 par value</w:t>
            </w:r>
          </w:p>
        </w:tc>
        <w:tc>
          <w:tcPr>
            <w:tcW w:w="1340"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ind w:left="90" w:right="0" w:hanging="0"/>
              <w:jc w:val="center"/>
              <w:rPr>
                <w:rFonts w:ascii="Times New Roman" w:hAnsi="Times New Roman"/>
                <w:sz w:val="20"/>
              </w:rPr>
            </w:pPr>
            <w:r>
              <w:rPr>
                <w:rFonts w:ascii="Times New Roman" w:hAnsi="Times New Roman"/>
                <w:sz w:val="20"/>
              </w:rPr>
              <w:t>OLLI</w:t>
            </w:r>
          </w:p>
        </w:tc>
        <w:tc>
          <w:tcPr>
            <w:tcW w:w="3575" w:type="dxa"/>
            <w:tcBorders>
              <w:left w:val="single" w:sz="12" w:space="0" w:color="000000"/>
              <w:bottom w:val="single" w:sz="12" w:space="0" w:color="000000"/>
              <w:right w:val="single" w:sz="12" w:space="0" w:color="000000"/>
            </w:tcBorders>
            <w:tcMar>
              <w:top w:w="0"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The NASDAQ Stock Market LLC</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Item 2.02</w:t>
            </w:r>
          </w:p>
        </w:tc>
        <w:tc>
          <w:tcPr>
            <w:tcW w:w="3980" w:type="dxa"/>
            <w:tcBorders/>
            <w:vAlign w:val="center"/>
          </w:tcPr>
          <w:p>
            <w:pPr>
              <w:pStyle w:val="TableContents"/>
              <w:bidi w:val="0"/>
              <w:spacing w:before="0" w:after="0"/>
              <w:ind w:left="720" w:right="0" w:hanging="720"/>
              <w:jc w:val="left"/>
              <w:rPr>
                <w:rFonts w:ascii="Times New Roman" w:hAnsi="Times New Roman"/>
                <w:b/>
                <w:color w:val="000000"/>
                <w:sz w:val="20"/>
              </w:rPr>
            </w:pPr>
            <w:r>
              <w:rPr>
                <w:rFonts w:ascii="Times New Roman" w:hAnsi="Times New Roman"/>
                <w:b/>
                <w:color w:val="000000"/>
                <w:sz w:val="20"/>
              </w:rPr>
              <w:t>Results of Operations and Financial Condition.</w:t>
            </w:r>
          </w:p>
        </w:tc>
      </w:tr>
    </w:tbl>
    <w:p>
      <w:pPr>
        <w:pStyle w:val="TextBody"/>
        <w:bidi w:val="0"/>
        <w:spacing w:before="0" w:after="0"/>
        <w:jc w:val="left"/>
        <w:rPr>
          <w:sz w:val="20"/>
        </w:rPr>
      </w:pPr>
      <w:r>
        <w:rPr>
          <w:sz w:val="20"/>
        </w:rPr>
      </w:r>
    </w:p>
    <w:p>
      <w:pPr>
        <w:pStyle w:val="TextBody"/>
        <w:bidi w:val="0"/>
        <w:spacing w:before="0" w:after="0"/>
        <w:ind w:left="360" w:right="0" w:hanging="0"/>
        <w:jc w:val="both"/>
        <w:rPr>
          <w:rFonts w:ascii="Times New Roman" w:hAnsi="Times New Roman"/>
          <w:color w:val="000000"/>
          <w:sz w:val="20"/>
          <w:shd w:fill="FFFFFF" w:val="clear"/>
        </w:rPr>
      </w:pPr>
      <w:r>
        <w:rPr>
          <w:rFonts w:ascii="Times New Roman" w:hAnsi="Times New Roman"/>
          <w:color w:val="000000"/>
          <w:sz w:val="20"/>
          <w:shd w:fill="FFFFFF" w:val="clear"/>
        </w:rPr>
        <w:t>On September 2, 2026, Ollie’s Bargain Outlet Holdings, Inc. (the “Company”) issued a press release announcing its financial results for the quarter ended August 1, 2026. A copy of the press release is furnished as Exhibit 99.1 to this current report and is incorporated by reference herein.</w:t>
      </w:r>
    </w:p>
    <w:p>
      <w:pPr>
        <w:pStyle w:val="TextBody"/>
        <w:bidi w:val="0"/>
        <w:spacing w:before="0" w:after="0"/>
        <w:jc w:val="left"/>
        <w:rPr>
          <w:sz w:val="20"/>
        </w:rPr>
      </w:pPr>
      <w:r>
        <w:rPr>
          <w:sz w:val="20"/>
        </w:rPr>
      </w:r>
    </w:p>
    <w:p>
      <w:pPr>
        <w:pStyle w:val="TextBody"/>
        <w:bidi w:val="0"/>
        <w:spacing w:before="0" w:after="0"/>
        <w:ind w:left="360" w:right="0" w:hanging="0"/>
        <w:jc w:val="both"/>
        <w:rPr>
          <w:rFonts w:ascii="Times New Roman" w:hAnsi="Times New Roman"/>
          <w:color w:val="000000"/>
          <w:sz w:val="20"/>
          <w:shd w:fill="FFFFFF" w:val="clear"/>
        </w:rPr>
      </w:pPr>
      <w:bookmarkStart w:id="0" w:name="z_Hlk105511791"/>
      <w:bookmarkEnd w:id="0"/>
      <w:r>
        <w:rPr>
          <w:rFonts w:ascii="Times New Roman" w:hAnsi="Times New Roman"/>
          <w:color w:val="000000"/>
          <w:sz w:val="20"/>
          <w:shd w:fill="FFFFFF" w:val="clear"/>
        </w:rPr>
        <w:t>The information furnished in this Item 2.02 of on this Form 8-K, including the exhibit attached,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w:t>
      </w:r>
    </w:p>
    <w:p>
      <w:pPr>
        <w:pStyle w:val="TextBody"/>
        <w:bidi w:val="0"/>
        <w:spacing w:before="0" w:after="0"/>
        <w:jc w:val="left"/>
        <w:rPr>
          <w:color w:val="000000"/>
          <w:shd w:fill="FFFFFF" w:val="clear"/>
        </w:rPr>
      </w:pPr>
      <w:r>
        <w:rPr>
          <w:color w:val="000000"/>
          <w:shd w:fill="FFFFFF" w:val="clear"/>
        </w:rPr>
        <w:t> </w:t>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ind w:left="720" w:right="0" w:hanging="72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360" w:right="0" w:hanging="0"/>
        <w:jc w:val="left"/>
        <w:rPr>
          <w:rFonts w:ascii="Times New Roman" w:hAnsi="Times New Roman"/>
          <w:color w:val="000000"/>
          <w:sz w:val="20"/>
          <w:shd w:fill="FFFFFF" w:val="clear"/>
        </w:rPr>
      </w:pPr>
      <w:r>
        <w:rPr>
          <w:rFonts w:ascii="Times New Roman" w:hAnsi="Times New Roman"/>
          <w:color w:val="000000"/>
          <w:sz w:val="20"/>
          <w:shd w:fill="FFFFFF" w:val="clear"/>
        </w:rPr>
        <w:t xml:space="preserve">(d) </w:t>
      </w:r>
      <w:r>
        <w:rPr>
          <w:rFonts w:ascii="Times New Roman" w:hAnsi="Times New Roman"/>
          <w:color w:val="000000"/>
          <w:sz w:val="20"/>
          <w:u w:val="single"/>
          <w:shd w:fill="FFFFFF" w:val="clear"/>
        </w:rPr>
        <w:t>Exhibits</w:t>
      </w:r>
      <w:r>
        <w:rPr>
          <w:rFonts w:ascii="Times New Roman" w:hAnsi="Times New Roman"/>
          <w:color w:val="000000"/>
          <w:sz w:val="20"/>
          <w:shd w:fill="FFFFFF" w:val="clear"/>
        </w:rPr>
        <w:t>.  The following exhibits are filed with this report:</w:t>
      </w:r>
    </w:p>
    <w:p>
      <w:pPr>
        <w:pStyle w:val="TextBody"/>
        <w:bidi w:val="0"/>
        <w:spacing w:before="0" w:after="0"/>
        <w:jc w:val="left"/>
        <w:rPr>
          <w:color w:val="000000"/>
          <w:shd w:fill="FFFFFF" w:val="clear"/>
        </w:rPr>
      </w:pPr>
      <w:r>
        <w:rPr>
          <w:color w:val="000000"/>
          <w:shd w:fill="FFFFFF" w:val="clear"/>
        </w:rPr>
        <w:t> </w:t>
      </w:r>
    </w:p>
    <w:tbl>
      <w:tblPr>
        <w:tblW w:w="9845" w:type="dxa"/>
        <w:jc w:val="left"/>
        <w:tblInd w:w="360" w:type="dxa"/>
        <w:tblLayout w:type="fixed"/>
        <w:tblCellMar>
          <w:top w:w="0" w:type="dxa"/>
          <w:left w:w="0" w:type="dxa"/>
          <w:bottom w:w="28" w:type="dxa"/>
          <w:right w:w="0" w:type="dxa"/>
        </w:tblCellMar>
      </w:tblPr>
      <w:tblGrid>
        <w:gridCol w:w="973"/>
        <w:gridCol w:w="60"/>
        <w:gridCol w:w="8812"/>
      </w:tblGrid>
      <w:tr>
        <w:trPr/>
        <w:tc>
          <w:tcPr>
            <w:tcW w:w="973"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812"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973"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99.1</w:t>
            </w:r>
          </w:p>
        </w:tc>
        <w:tc>
          <w:tcPr>
            <w:tcW w:w="60" w:type="dxa"/>
            <w:tcBorders/>
            <w:tcMar>
              <w:bottom w:w="0" w:type="dxa"/>
            </w:tcMar>
            <w:vAlign w:val="center"/>
          </w:tcPr>
          <w:p>
            <w:pPr>
              <w:pStyle w:val="TableContents"/>
              <w:bidi w:val="0"/>
              <w:spacing w:before="0" w:after="283"/>
              <w:jc w:val="left"/>
              <w:rPr/>
            </w:pPr>
            <w:r>
              <w:rPr/>
              <w:t> </w:t>
            </w:r>
          </w:p>
        </w:tc>
        <w:tc>
          <w:tcPr>
            <w:tcW w:w="8812"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issued on September 2, 2026 of Ollie’s Bargain Outlet Holdings, Inc.</w:t>
            </w:r>
          </w:p>
        </w:tc>
      </w:tr>
      <w:tr>
        <w:trPr/>
        <w:tc>
          <w:tcPr>
            <w:tcW w:w="973"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8812"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 the cover page XBRL tags are embedded within the Inline XBRL document.</w:t>
            </w:r>
          </w:p>
        </w:tc>
      </w:tr>
    </w:tbl>
    <w:p>
      <w:pPr>
        <w:pStyle w:val="TextBody"/>
        <w:bidi w:val="0"/>
        <w:spacing w:before="0" w:after="0"/>
        <w:ind w:left="360" w:right="0" w:hanging="0"/>
        <w:jc w:val="left"/>
        <w:rPr/>
      </w:pPr>
      <w:r>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SIGNATURES</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sz w:val="20"/>
        </w:rPr>
      </w:pPr>
      <w:r>
        <w:rPr>
          <w:sz w:val="20"/>
        </w:rPr>
      </w:r>
    </w:p>
    <w:tbl>
      <w:tblPr>
        <w:tblW w:w="7230" w:type="dxa"/>
        <w:jc w:val="left"/>
        <w:tblInd w:w="0" w:type="dxa"/>
        <w:tblLayout w:type="fixed"/>
        <w:tblCellMar>
          <w:top w:w="0" w:type="dxa"/>
          <w:left w:w="0" w:type="dxa"/>
          <w:bottom w:w="0" w:type="dxa"/>
          <w:right w:w="0" w:type="dxa"/>
        </w:tblCellMar>
      </w:tblPr>
      <w:tblGrid>
        <w:gridCol w:w="2015"/>
        <w:gridCol w:w="320"/>
        <w:gridCol w:w="4895"/>
      </w:tblGrid>
      <w:tr>
        <w:trPr/>
        <w:tc>
          <w:tcPr>
            <w:tcW w:w="201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OLLIE’S BARGAIN OUTLET HOLDINGS, INC.</w:t>
            </w:r>
          </w:p>
        </w:tc>
      </w:tr>
      <w:tr>
        <w:trPr/>
        <w:tc>
          <w:tcPr>
            <w:tcW w:w="2015" w:type="dxa"/>
            <w:tcBorders/>
            <w:vAlign w:val="center"/>
          </w:tcPr>
          <w:p>
            <w:pPr>
              <w:pStyle w:val="TableContents"/>
              <w:bidi w:val="0"/>
              <w:spacing w:before="0" w:after="283"/>
              <w:jc w:val="left"/>
              <w:rPr/>
            </w:pPr>
            <w:r>
              <w:rPr/>
              <w:t> </w:t>
            </w:r>
          </w:p>
        </w:tc>
        <w:tc>
          <w:tcPr>
            <w:tcW w:w="5215" w:type="dxa"/>
            <w:gridSpan w:val="2"/>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4895"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Robert Helm</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Name: Robert Helm</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Title:   Executive Vice President and Chief Financial Officer</w:t>
            </w:r>
          </w:p>
        </w:tc>
      </w:tr>
      <w:tr>
        <w:trPr/>
        <w:tc>
          <w:tcPr>
            <w:tcW w:w="201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r>
      <w:tr>
        <w:trPr/>
        <w:tc>
          <w:tcPr>
            <w:tcW w:w="20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Date: September 2, 2026</w:t>
            </w:r>
          </w:p>
        </w:tc>
        <w:tc>
          <w:tcPr>
            <w:tcW w:w="32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EXHIBIT INDEX</w:t>
      </w:r>
    </w:p>
    <w:p>
      <w:pPr>
        <w:pStyle w:val="TextBody"/>
        <w:bidi w:val="0"/>
        <w:spacing w:before="0" w:after="0"/>
        <w:jc w:val="left"/>
        <w:rPr>
          <w:sz w:val="20"/>
        </w:rPr>
      </w:pPr>
      <w:r>
        <w:rPr>
          <w:sz w:val="20"/>
        </w:rPr>
      </w:r>
    </w:p>
    <w:tbl>
      <w:tblPr>
        <w:tblW w:w="10000" w:type="dxa"/>
        <w:jc w:val="left"/>
        <w:tblInd w:w="0" w:type="dxa"/>
        <w:tblLayout w:type="fixed"/>
        <w:tblCellMar>
          <w:top w:w="0" w:type="dxa"/>
          <w:left w:w="0" w:type="dxa"/>
          <w:bottom w:w="28" w:type="dxa"/>
          <w:right w:w="0" w:type="dxa"/>
        </w:tblCellMar>
      </w:tblPr>
      <w:tblGrid>
        <w:gridCol w:w="980"/>
        <w:gridCol w:w="60"/>
        <w:gridCol w:w="8960"/>
      </w:tblGrid>
      <w:tr>
        <w:trPr/>
        <w:tc>
          <w:tcPr>
            <w:tcW w:w="980" w:type="dxa"/>
            <w:tcBorders>
              <w:bottom w:val="single" w:sz="12" w:space="0" w:color="000000"/>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8960" w:type="dxa"/>
            <w:tcBorders>
              <w:bottom w:val="single" w:sz="12" w:space="0" w:color="000000"/>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Description</w:t>
            </w:r>
          </w:p>
        </w:tc>
      </w:tr>
      <w:tr>
        <w:trPr/>
        <w:tc>
          <w:tcPr>
            <w:tcW w:w="980" w:type="dxa"/>
            <w:tcBorders/>
            <w:tcMar>
              <w:bottom w:w="0" w:type="dxa"/>
            </w:tcMar>
            <w:vAlign w:val="center"/>
          </w:tcPr>
          <w:p>
            <w:pPr>
              <w:pStyle w:val="TableContents"/>
              <w:bidi w:val="0"/>
              <w:spacing w:before="0" w:after="0"/>
              <w:jc w:val="left"/>
              <w:rPr/>
            </w:pPr>
            <w:hyperlink w:anchor="ef20081496_ex99-1.htm">
              <w:r>
                <w:rPr>
                  <w:rStyle w:val="InternetLink"/>
                  <w:rFonts w:ascii="Times New Roman" w:hAnsi="Times New Roman"/>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896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issued on September 2, 2026 of Ollie’s Bargain Outlet Holdings, Inc.</w:t>
            </w:r>
          </w:p>
        </w:tc>
      </w:tr>
      <w:tr>
        <w:trPr/>
        <w:tc>
          <w:tcPr>
            <w:tcW w:w="98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60" w:type="dxa"/>
            <w:tcBorders/>
            <w:tcMar>
              <w:bottom w:w="0" w:type="dxa"/>
            </w:tcMar>
            <w:vAlign w:val="center"/>
          </w:tcPr>
          <w:p>
            <w:pPr>
              <w:pStyle w:val="TableContents"/>
              <w:bidi w:val="0"/>
              <w:spacing w:before="0" w:after="283"/>
              <w:jc w:val="left"/>
              <w:rPr/>
            </w:pPr>
            <w:r>
              <w:rPr/>
              <w:t> </w:t>
            </w:r>
          </w:p>
        </w:tc>
        <w:tc>
          <w:tcPr>
            <w:tcW w:w="8960"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 the cover page XBRL tags are embedded within the Inline XBRL document.</w:t>
            </w:r>
          </w:p>
        </w:tc>
      </w:tr>
    </w:tbl>
    <w:p>
      <w:pPr>
        <w:pStyle w:val="TextBody"/>
        <w:bidi w:val="0"/>
        <w:spacing w:before="0" w:after="0"/>
        <w:jc w:val="left"/>
        <w:rPr>
          <w:sz w:val="20"/>
        </w:rPr>
      </w:pPr>
      <w:r>
        <w:rPr>
          <w:sz w:val="20"/>
        </w:rPr>
      </w:r>
    </w:p>
    <w:p>
      <w:pPr>
        <w:pStyle w:val="TextBody"/>
        <w:bidi w:val="0"/>
        <w:spacing w:before="0" w:after="0"/>
        <w:jc w:val="left"/>
        <w:rPr/>
      </w:pPr>
      <w:r>
        <w:rPr/>
      </w:r>
    </w:p>
    <w:p>
      <w:pPr>
        <w:pStyle w:val="HorizontalLine"/>
        <w:bidi w:val="0"/>
        <w:jc w:val="left"/>
        <w:rPr/>
      </w:pPr>
      <w:r>
        <w:rPr/>
      </w:r>
    </w:p>
    <w:p>
      <w:pPr>
        <w:pStyle w:val="HorizontalLine"/>
        <w:pBdr>
          <w:bottom w:val="single" w:sz="12" w:space="0" w:color="808080"/>
        </w:pBdr>
        <w:bidi w:val="0"/>
        <w:jc w:val="left"/>
        <w:rPr/>
      </w:pPr>
      <w:r>
        <w:rPr/>
      </w:r>
      <w:bookmarkStart w:id="1" w:name="ef20081496_ex99-1.htm"/>
      <w:bookmarkStart w:id="2" w:name="ksef20081496_ex991"/>
      <w:bookmarkStart w:id="3" w:name="ef20081496_ex99-1.htm"/>
      <w:bookmarkStart w:id="4" w:name="ksef20081496_ex991"/>
      <w:bookmarkEnd w:id="3"/>
      <w:bookmarkEnd w:id="4"/>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right"/>
        <w:rPr>
          <w:b/>
          <w:sz w:val="20"/>
        </w:rPr>
      </w:pPr>
      <w:r>
        <w:rPr>
          <w:b/>
          <w:sz w:val="20"/>
        </w:rPr>
      </w:r>
    </w:p>
    <w:p>
      <w:pPr>
        <w:pStyle w:val="TextBody"/>
        <w:bidi w:val="0"/>
        <w:spacing w:before="0" w:after="0"/>
        <w:jc w:val="center"/>
        <w:rPr>
          <w:color w:val="000000"/>
        </w:rPr>
      </w:pPr>
      <w:r>
        <w:rPr>
          <w:color w:val="000000"/>
        </w:rPr>
        <w:drawing>
          <wp:inline distT="0" distB="0" distL="0" distR="0">
            <wp:extent cx="3000375" cy="1019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0375" cy="1019175"/>
                    </a:xfrm>
                    <a:prstGeom prst="rect">
                      <a:avLst/>
                    </a:prstGeom>
                  </pic:spPr>
                </pic:pic>
              </a:graphicData>
            </a:graphic>
          </wp:inline>
        </w:drawing>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Ollie’s Bargain Outlet Holdings, Inc. Announces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Second Quarter Fiscal 2026 Results</w:t>
      </w:r>
    </w:p>
    <w:p>
      <w:pPr>
        <w:pStyle w:val="TextBody"/>
        <w:bidi w:val="0"/>
        <w:spacing w:before="0" w:after="0"/>
        <w:jc w:val="left"/>
        <w:rPr>
          <w:sz w:val="20"/>
        </w:rPr>
      </w:pPr>
      <w:r>
        <w:rPr>
          <w:sz w:val="20"/>
        </w:rPr>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Net Sales Increased 9.1%</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Opened 15 New Stores and Grew Ollie’s Army 12.7%</w:t>
      </w:r>
    </w:p>
    <w:p>
      <w:pPr>
        <w:pStyle w:val="TextBody"/>
        <w:bidi w:val="0"/>
        <w:spacing w:before="0" w:after="0"/>
        <w:jc w:val="center"/>
        <w:rPr>
          <w:rFonts w:ascii="Times New Roman" w:hAnsi="Times New Roman"/>
          <w:b/>
          <w:i/>
          <w:color w:val="000000"/>
          <w:sz w:val="20"/>
        </w:rPr>
      </w:pPr>
      <w:r>
        <w:rPr>
          <w:rFonts w:ascii="Times New Roman" w:hAnsi="Times New Roman"/>
          <w:b/>
          <w:i/>
          <w:color w:val="000000"/>
          <w:sz w:val="20"/>
        </w:rPr>
        <w:t>Updating Outlook for Fiscal 2026</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HARRISBURG, PA – September 2, 2026</w:t>
      </w:r>
      <w:r>
        <w:rPr>
          <w:rFonts w:ascii="Times New Roman" w:hAnsi="Times New Roman"/>
          <w:color w:val="000000"/>
          <w:sz w:val="20"/>
        </w:rPr>
        <w:t xml:space="preserve"> – Ollie’s Bargain Outlet Holdings, Inc. (NASDAQ: OLLI) (the “Company”) today announced financial results for the second quarter ended August 1, 2026.</w:t>
      </w:r>
    </w:p>
    <w:p>
      <w:pPr>
        <w:pStyle w:val="TextBody"/>
        <w:bidi w:val="0"/>
        <w:spacing w:before="0" w:after="0"/>
        <w:jc w:val="left"/>
        <w:rPr>
          <w:sz w:val="20"/>
        </w:rPr>
      </w:pPr>
      <w:r>
        <w:rPr>
          <w:sz w:val="20"/>
        </w:rPr>
      </w:r>
    </w:p>
    <w:p>
      <w:pPr>
        <w:pStyle w:val="TextBody"/>
        <w:bidi w:val="0"/>
        <w:spacing w:before="0" w:after="0"/>
        <w:jc w:val="both"/>
        <w:rPr>
          <w:color w:val="000000"/>
        </w:rPr>
      </w:pPr>
      <w:r>
        <w:rPr>
          <w:color w:val="000000"/>
        </w:rPr>
        <w:t>“</w:t>
      </w:r>
      <w:r>
        <w:rPr>
          <w:rFonts w:ascii="Times New Roman" w:hAnsi="Times New Roman"/>
          <w:color w:val="000000"/>
          <w:sz w:val="20"/>
        </w:rPr>
        <w:t>We delivered strong earnings growth in the second quarter and continued to execute against our key strategic initiatives,” said Eric van der Valk, President and Chief Executive Officer. “Comparable store sales declined 1.8% against a challenging multi-year stack. We believe our sales results were negatively impacted by the combination of less favorable weather, continued economic pressure on the consumer, and an elevated promotional environment, which all led to a more challenging backdrop than we originally expected.”</w:t>
      </w:r>
    </w:p>
    <w:p>
      <w:pPr>
        <w:pStyle w:val="TextBody"/>
        <w:bidi w:val="0"/>
        <w:spacing w:before="0" w:after="0"/>
        <w:jc w:val="left"/>
        <w:rPr>
          <w:sz w:val="20"/>
        </w:rPr>
      </w:pPr>
      <w:r>
        <w:rPr>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Mr. van der Valk continued, “Consumers continue to seek value and many of the same pressures affecting our customers are creating buying opportunities across the closeout market. We continue to see strong deal flow and remain committed to reinvesting in price and strengthening our competitive position. With a flexible business model, deep vendor relationships, growing scale, and a talented team, we believe Ollie's is well positioned to deliver long-term profitable growth through any retail environment.”</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 w:name="zf9210103b05f4ea995ec1fa9df030ef9"/>
      <w:bookmarkStart w:id="6" w:name="zf9210103b05f4ea995ec1fa9df030ef9"/>
      <w:bookmarkEnd w:id="6"/>
    </w:p>
    <w:tbl>
      <w:tblPr>
        <w:tblW w:w="5855" w:type="dxa"/>
        <w:jc w:val="left"/>
        <w:tblInd w:w="0" w:type="dxa"/>
        <w:tblLayout w:type="fixed"/>
        <w:tblCellMar>
          <w:top w:w="0" w:type="dxa"/>
          <w:left w:w="0" w:type="dxa"/>
          <w:bottom w:w="0" w:type="dxa"/>
          <w:right w:w="0" w:type="dxa"/>
        </w:tblCellMar>
      </w:tblPr>
      <w:tblGrid>
        <w:gridCol w:w="3650"/>
        <w:gridCol w:w="60"/>
        <w:gridCol w:w="125"/>
        <w:gridCol w:w="695"/>
        <w:gridCol w:w="245"/>
        <w:gridCol w:w="60"/>
        <w:gridCol w:w="125"/>
        <w:gridCol w:w="695"/>
        <w:gridCol w:w="200"/>
      </w:tblGrid>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200"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200" w:type="dxa"/>
            <w:tcBorders/>
            <w:vAlign w:val="bottom"/>
          </w:tcPr>
          <w:p>
            <w:pPr>
              <w:pStyle w:val="TableContents"/>
              <w:bidi w:val="0"/>
              <w:spacing w:before="0" w:after="283"/>
              <w:jc w:val="left"/>
              <w:rPr/>
            </w:pPr>
            <w:r>
              <w:rPr/>
              <w:t> </w:t>
            </w:r>
          </w:p>
        </w:tc>
      </w:tr>
      <w:tr>
        <w:trPr/>
        <w:tc>
          <w:tcPr>
            <w:tcW w:w="3650" w:type="dxa"/>
            <w:tcBorders>
              <w:bottom w:val="single" w:sz="12" w:space="0" w:color="000000"/>
            </w:tcBorders>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Dollars in thousands, except per share data</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45"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741,305</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679,556</w:t>
            </w:r>
          </w:p>
        </w:tc>
        <w:tc>
          <w:tcPr>
            <w:tcW w:w="20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Yr/yr change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shd w:fill="CCEEFF" w:val="clear"/>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Comparable store sales change (1)</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85,454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61,310</w:t>
            </w:r>
          </w:p>
        </w:tc>
        <w:tc>
          <w:tcPr>
            <w:tcW w:w="20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per diluted share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200"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 per diluted share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20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Yr/yr change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43.4</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26.9</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127,095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93,786</w:t>
            </w:r>
          </w:p>
        </w:tc>
        <w:tc>
          <w:tcPr>
            <w:tcW w:w="20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of net 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13.8</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650"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Store openings (2)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200" w:type="dxa"/>
            <w:tcBorders/>
            <w:vAlign w:val="bottom"/>
          </w:tcPr>
          <w:p>
            <w:pPr>
              <w:pStyle w:val="TableContents"/>
              <w:bidi w:val="0"/>
              <w:spacing w:before="0" w:after="283"/>
              <w:jc w:val="left"/>
              <w:rPr/>
            </w:pPr>
            <w:r>
              <w:rPr/>
              <w:t> </w:t>
            </w:r>
          </w:p>
        </w:tc>
      </w:tr>
      <w:tr>
        <w:trPr/>
        <w:tc>
          <w:tcPr>
            <w:tcW w:w="36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Store growth, yr/yr change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7" w:name="z17c6d6dc45c0473bbfd696081e4e0685"/>
      <w:bookmarkStart w:id="8" w:name="z17c6d6dc45c0473bbfd696081e4e0685"/>
      <w:bookmarkEnd w:id="8"/>
    </w:p>
    <w:tbl>
      <w:tblPr>
        <w:tblW w:w="7330" w:type="dxa"/>
        <w:jc w:val="left"/>
        <w:tblInd w:w="0" w:type="dxa"/>
        <w:tblLayout w:type="fixed"/>
        <w:tblCellMar>
          <w:top w:w="0" w:type="dxa"/>
          <w:left w:w="0" w:type="dxa"/>
          <w:bottom w:w="0" w:type="dxa"/>
          <w:right w:w="0" w:type="dxa"/>
        </w:tblCellMar>
      </w:tblPr>
      <w:tblGrid>
        <w:gridCol w:w="305"/>
        <w:gridCol w:w="7025"/>
      </w:tblGrid>
      <w:tr>
        <w:trPr/>
        <w:tc>
          <w:tcPr>
            <w:tcW w:w="305"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(1)</w:t>
            </w:r>
          </w:p>
        </w:tc>
        <w:tc>
          <w:tcPr>
            <w:tcW w:w="7025" w:type="dxa"/>
            <w:tcBorders/>
            <w:vAlign w:val="center"/>
          </w:tcPr>
          <w:p>
            <w:pPr>
              <w:pStyle w:val="TableContents"/>
              <w:bidi w:val="0"/>
              <w:spacing w:before="0" w:after="0"/>
              <w:jc w:val="left"/>
              <w:rPr>
                <w:rFonts w:ascii="Times New Roman" w:hAnsi="Times New Roman"/>
              </w:rPr>
            </w:pPr>
            <w:r>
              <w:rPr>
                <w:rFonts w:ascii="Times New Roman" w:hAnsi="Times New Roman"/>
              </w:rPr>
              <w:t>Calculated based on the comparable number of weeks from the prior year.</w:t>
            </w:r>
          </w:p>
        </w:tc>
      </w:tr>
    </w:tbl>
    <w:p>
      <w:pPr>
        <w:pStyle w:val="Normal"/>
        <w:bidi w:val="0"/>
        <w:spacing w:before="0" w:after="0"/>
        <w:jc w:val="left"/>
        <w:rPr>
          <w:sz w:val="4"/>
          <w:szCs w:val="4"/>
        </w:rPr>
      </w:pPr>
      <w:r>
        <w:rPr>
          <w:sz w:val="4"/>
          <w:szCs w:val="4"/>
        </w:rPr>
      </w:r>
      <w:bookmarkStart w:id="9" w:name="z12549e103b7a445e873a92fec5796020"/>
      <w:bookmarkStart w:id="10" w:name="z12549e103b7a445e873a92fec5796020"/>
      <w:bookmarkEnd w:id="10"/>
    </w:p>
    <w:tbl>
      <w:tblPr>
        <w:tblW w:w="6730" w:type="dxa"/>
        <w:jc w:val="left"/>
        <w:tblInd w:w="0" w:type="dxa"/>
        <w:tblLayout w:type="fixed"/>
        <w:tblCellMar>
          <w:top w:w="0" w:type="dxa"/>
          <w:left w:w="0" w:type="dxa"/>
          <w:bottom w:w="0" w:type="dxa"/>
          <w:right w:w="0" w:type="dxa"/>
        </w:tblCellMar>
      </w:tblPr>
      <w:tblGrid>
        <w:gridCol w:w="305"/>
        <w:gridCol w:w="6425"/>
      </w:tblGrid>
      <w:tr>
        <w:trPr/>
        <w:tc>
          <w:tcPr>
            <w:tcW w:w="305"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(2)</w:t>
            </w:r>
          </w:p>
        </w:tc>
        <w:tc>
          <w:tcPr>
            <w:tcW w:w="6425" w:type="dxa"/>
            <w:tcBorders/>
            <w:vAlign w:val="center"/>
          </w:tcPr>
          <w:p>
            <w:pPr>
              <w:pStyle w:val="TableContents"/>
              <w:bidi w:val="0"/>
              <w:spacing w:before="0" w:after="0"/>
              <w:jc w:val="left"/>
              <w:rPr>
                <w:rFonts w:ascii="Times New Roman" w:hAnsi="Times New Roman"/>
              </w:rPr>
            </w:pPr>
            <w:r>
              <w:rPr>
                <w:rFonts w:ascii="Times New Roman" w:hAnsi="Times New Roman"/>
              </w:rPr>
              <w:t>Gross number that does not include any store closures in the period.</w:t>
            </w:r>
          </w:p>
        </w:tc>
      </w:tr>
    </w:tbl>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57350" cy="5619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Second Quarter 2026 Highlights and Year-Over-Year Comparisons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1" w:name="z01ec30f34be44b548d0ebc106faa3370"/>
      <w:bookmarkStart w:id="12" w:name="z01ec30f34be44b548d0ebc106faa3370"/>
      <w:bookmarkEnd w:id="12"/>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Opened 15 new stores and closed one store related to storm damage, ending the quarter with 686 stores in 36 states, an increase of 11.9%.</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3" w:name="z32ff978d6a194cec8a671eab6d7eae3c"/>
      <w:bookmarkStart w:id="14" w:name="z32ff978d6a194cec8a671eab6d7eae3c"/>
      <w:bookmarkEnd w:id="14"/>
    </w:p>
    <w:tbl>
      <w:tblPr>
        <w:tblW w:w="6063" w:type="dxa"/>
        <w:jc w:val="left"/>
        <w:tblInd w:w="0" w:type="dxa"/>
        <w:tblLayout w:type="fixed"/>
        <w:tblCellMar>
          <w:top w:w="0" w:type="dxa"/>
          <w:left w:w="0" w:type="dxa"/>
          <w:bottom w:w="0" w:type="dxa"/>
          <w:right w:w="0" w:type="dxa"/>
        </w:tblCellMar>
      </w:tblPr>
      <w:tblGrid>
        <w:gridCol w:w="38"/>
        <w:gridCol w:w="110"/>
        <w:gridCol w:w="59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59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Ollie’s Army loyalty members increased 12.7% to 18.1 million members.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5" w:name="z5686bcc836ff4812bf15963cd252cde5"/>
      <w:bookmarkStart w:id="16" w:name="z5686bcc836ff4812bf15963cd252cde5"/>
      <w:bookmarkEnd w:id="16"/>
    </w:p>
    <w:tbl>
      <w:tblPr>
        <w:tblW w:w="6363" w:type="dxa"/>
        <w:jc w:val="left"/>
        <w:tblInd w:w="0" w:type="dxa"/>
        <w:tblLayout w:type="fixed"/>
        <w:tblCellMar>
          <w:top w:w="0" w:type="dxa"/>
          <w:left w:w="0" w:type="dxa"/>
          <w:bottom w:w="0" w:type="dxa"/>
          <w:right w:w="0" w:type="dxa"/>
        </w:tblCellMar>
      </w:tblPr>
      <w:tblGrid>
        <w:gridCol w:w="38"/>
        <w:gridCol w:w="110"/>
        <w:gridCol w:w="621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621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Net sales increased 9.1% to $741.3 million, driven by new store unit growth.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7" w:name="z637156fd50d846c2a7ebfcd9f9957df1"/>
      <w:bookmarkStart w:id="18" w:name="z637156fd50d846c2a7ebfcd9f9957df1"/>
      <w:bookmarkEnd w:id="1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Comparable store sales decreased 1.8%, against a 5.0% increase in last year’s second quarter, with this year’s decrease driven by a decrease in average basket size.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9" w:name="zd6ada257f363402a8f4ddec2aeea54d6"/>
      <w:bookmarkStart w:id="20" w:name="zd6ada257f363402a8f4ddec2aeea54d6"/>
      <w:bookmarkEnd w:id="20"/>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Gross margin increased 360 basis points to 43.5%. The increase was driven by lower supply chain costs, primarily from IEEPA tariff refunds and lower tariff rates. IEEPA tariff refunds benefited gross margin by 380 basis points in this year’s second quarter.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1" w:name="z9a914b9e23304db7ab0fa8ba34d8d69d"/>
      <w:bookmarkStart w:id="22" w:name="z9a914b9e23304db7ab0fa8ba34d8d69d"/>
      <w:bookmarkEnd w:id="2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Selling, general, and administrative (“SG&amp;A”) expenses as a percentage of net sales increased 80 basis points to 26.6%, with the increase primarily driven by the deleverage of fixed costs from the decline in comparable store sales and higher marketing expenses primarily from one additional merchandise flyer in the second quarter.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3" w:name="zf4aaced9c89c4af2a2f7057fb970115d"/>
      <w:bookmarkStart w:id="24" w:name="zf4aaced9c89c4af2a2f7057fb970115d"/>
      <w:bookmarkEnd w:id="24"/>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Pre-opening expenses decreased 42.0% to $5.2 million, driven primarily by a lower number of new store openings and lower dark rent expense.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5" w:name="zab9fa35747684801b8d855fdacb1446e"/>
      <w:bookmarkStart w:id="26" w:name="zab9fa35747684801b8d855fdacb1446e"/>
      <w:bookmarkEnd w:id="26"/>
    </w:p>
    <w:tbl>
      <w:tblPr>
        <w:tblW w:w="10173" w:type="dxa"/>
        <w:jc w:val="left"/>
        <w:tblInd w:w="0" w:type="dxa"/>
        <w:tblLayout w:type="fixed"/>
        <w:tblCellMar>
          <w:top w:w="0" w:type="dxa"/>
          <w:left w:w="0" w:type="dxa"/>
          <w:bottom w:w="0" w:type="dxa"/>
          <w:right w:w="0" w:type="dxa"/>
        </w:tblCellMar>
      </w:tblPr>
      <w:tblGrid>
        <w:gridCol w:w="38"/>
        <w:gridCol w:w="110"/>
        <w:gridCol w:w="10025"/>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2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Adjusted net income increased 40.3% to $85.4 million and adjusted net income per diluted share increased 43.4% to $1.42.</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7" w:name="z442ca536d2b3472b8f9107b9ad8b9158"/>
      <w:bookmarkStart w:id="28" w:name="z442ca536d2b3472b8f9107b9ad8b9158"/>
      <w:bookmarkEnd w:id="28"/>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bookmarkStart w:id="29" w:name="z_Hlk66341493"/>
            <w:bookmarkStart w:id="30" w:name="z_Hlk64458244"/>
            <w:bookmarkEnd w:id="29"/>
            <w:bookmarkEnd w:id="30"/>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Total cash and investments increased $46.8 million, to $507.1 million. This included cash and cash equivalents of $120.8 million, short-term investments of $66.7 million, and long-term investments of $319.6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1" w:name="z9301039cf0d14f88b0dd40c3695a8278"/>
      <w:bookmarkStart w:id="32" w:name="z9301039cf0d14f88b0dd40c3695a8278"/>
      <w:bookmarkEnd w:id="32"/>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The Company invested $84.0 million of cash to repurchase 1.107 million shares of its common stock in the second quarter. In the first half of the year, the Company repurchased $137.3 million, or 1.6 million shares, of its common stock. At the end of the second quarter, $121.5 million remained available for future share repurchases under the current share repurchase authorization.</w:t>
            </w:r>
          </w:p>
        </w:tc>
      </w:tr>
    </w:tbl>
    <w:p>
      <w:pPr>
        <w:pStyle w:val="TextBody"/>
        <w:bidi w:val="0"/>
        <w:spacing w:before="0" w:after="0"/>
        <w:jc w:val="left"/>
        <w:rPr/>
      </w:pPr>
      <w:r>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57350" cy="561975"/>
                    </a:xfrm>
                    <a:prstGeom prst="rect">
                      <a:avLst/>
                    </a:prstGeom>
                  </pic:spPr>
                </pic:pic>
              </a:graphicData>
            </a:graphic>
          </wp:inline>
        </w:drawing>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Outlook</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 is updating its financial outlook figures for the fiscal year 2026 ending January 30, 2027. The Company is updating its net sales outlook to better align with recent sales trends and the current environment for the balance of the fiscal year. In addition, the Company’s current outlook now includes IEEPA tariff refunds of $28.3 million received in the second quarter, of which the Company intends to reinvest in pricing actions to further strengthen its competitive position. A table comparing the current outlook metrics to the previous outlook metrics is below.</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3" w:name="zbd77fd50d49741919c1c83fee2512a89"/>
      <w:bookmarkStart w:id="34" w:name="zbd77fd50d49741919c1c83fee2512a89"/>
      <w:bookmarkEnd w:id="34"/>
    </w:p>
    <w:tbl>
      <w:tblPr>
        <w:tblW w:w="7755" w:type="dxa"/>
        <w:jc w:val="left"/>
        <w:tblInd w:w="0" w:type="dxa"/>
        <w:tblLayout w:type="fixed"/>
        <w:tblCellMar>
          <w:top w:w="0" w:type="dxa"/>
          <w:left w:w="0" w:type="dxa"/>
          <w:bottom w:w="0" w:type="dxa"/>
          <w:right w:w="0" w:type="dxa"/>
        </w:tblCellMar>
      </w:tblPr>
      <w:tblGrid>
        <w:gridCol w:w="3665"/>
        <w:gridCol w:w="2015"/>
        <w:gridCol w:w="60"/>
        <w:gridCol w:w="2015"/>
      </w:tblGrid>
      <w:tr>
        <w:trPr/>
        <w:tc>
          <w:tcPr>
            <w:tcW w:w="3665" w:type="dxa"/>
            <w:tcBorders/>
            <w:vAlign w:val="bottom"/>
          </w:tcPr>
          <w:p>
            <w:pPr>
              <w:pStyle w:val="TableContents"/>
              <w:bidi w:val="0"/>
              <w:spacing w:before="0" w:after="0"/>
              <w:ind w:left="180" w:right="0" w:hanging="180"/>
              <w:jc w:val="left"/>
              <w:rPr/>
            </w:pPr>
            <w:r>
              <w:rPr/>
              <w:t> </w:t>
            </w:r>
          </w:p>
        </w:tc>
        <w:tc>
          <w:tcPr>
            <w:tcW w:w="20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Current</w:t>
            </w:r>
          </w:p>
        </w:tc>
        <w:tc>
          <w:tcPr>
            <w:tcW w:w="60" w:type="dxa"/>
            <w:tcBorders/>
            <w:vAlign w:val="bottom"/>
          </w:tcPr>
          <w:p>
            <w:pPr>
              <w:pStyle w:val="TableContents"/>
              <w:bidi w:val="0"/>
              <w:spacing w:before="0" w:after="283"/>
              <w:jc w:val="left"/>
              <w:rPr/>
            </w:pPr>
            <w:r>
              <w:rPr/>
              <w:t> </w:t>
            </w:r>
          </w:p>
        </w:tc>
        <w:tc>
          <w:tcPr>
            <w:tcW w:w="201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Previous</w:t>
            </w:r>
          </w:p>
        </w:tc>
      </w:tr>
      <w:tr>
        <w:trPr/>
        <w:tc>
          <w:tcPr>
            <w:tcW w:w="3665" w:type="dxa"/>
            <w:tcBorders/>
            <w:shd w:fill="CCEEFF" w:val="clear"/>
            <w:vAlign w:val="bottom"/>
          </w:tcPr>
          <w:p>
            <w:pPr>
              <w:pStyle w:val="TableContents"/>
              <w:bidi w:val="0"/>
              <w:spacing w:lineRule="auto" w:line="240" w:before="0" w:after="0"/>
              <w:ind w:left="180" w:right="0" w:hanging="180"/>
              <w:jc w:val="left"/>
              <w:rPr>
                <w:rFonts w:ascii="Times New Roman" w:hAnsi="Times New Roman"/>
                <w:color w:val="000000"/>
                <w:sz w:val="20"/>
              </w:rPr>
            </w:pPr>
            <w:r>
              <w:rPr>
                <w:rFonts w:ascii="Times New Roman" w:hAnsi="Times New Roman"/>
                <w:color w:val="000000"/>
                <w:sz w:val="20"/>
              </w:rPr>
              <w:t>New store openings(1)</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c>
          <w:tcPr>
            <w:tcW w:w="60" w:type="dxa"/>
            <w:tcBorders/>
            <w:shd w:fill="CCEEFF" w:val="clear"/>
            <w:vAlign w:val="bottom"/>
          </w:tcPr>
          <w:p>
            <w:pPr>
              <w:pStyle w:val="TableContents"/>
              <w:bidi w:val="0"/>
              <w:spacing w:before="0" w:after="283"/>
              <w:jc w:val="right"/>
              <w:rPr/>
            </w:pPr>
            <w:r>
              <w:rPr/>
              <w:t> </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w:t>
            </w:r>
          </w:p>
        </w:tc>
      </w:tr>
      <w:tr>
        <w:trPr/>
        <w:tc>
          <w:tcPr>
            <w:tcW w:w="36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sales</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$2.928 to $2.941 billion</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$2.980 to $3.000 billion</w:t>
            </w:r>
          </w:p>
        </w:tc>
      </w:tr>
      <w:tr>
        <w:trPr/>
        <w:tc>
          <w:tcPr>
            <w:tcW w:w="36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Comparable store sales growth</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 to 0.5%</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w:t>
            </w:r>
          </w:p>
        </w:tc>
      </w:tr>
      <w:tr>
        <w:trPr/>
        <w:tc>
          <w:tcPr>
            <w:tcW w:w="36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Gross margin</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~41.3%</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~40.7%</w:t>
            </w:r>
          </w:p>
        </w:tc>
      </w:tr>
      <w:tr>
        <w:trPr/>
        <w:tc>
          <w:tcPr>
            <w:tcW w:w="36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income</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$345 to $350 million</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$340 to $348 million</w:t>
            </w:r>
          </w:p>
        </w:tc>
      </w:tr>
      <w:tr>
        <w:trPr/>
        <w:tc>
          <w:tcPr>
            <w:tcW w:w="3665" w:type="dxa"/>
            <w:tcBorders/>
            <w:vAlign w:val="bottom"/>
          </w:tcPr>
          <w:p>
            <w:pPr>
              <w:pStyle w:val="TableContents"/>
              <w:bidi w:val="0"/>
              <w:spacing w:lineRule="auto" w:line="240" w:before="0" w:after="0"/>
              <w:ind w:left="180" w:right="0" w:hanging="180"/>
              <w:jc w:val="left"/>
              <w:rPr>
                <w:rFonts w:ascii="Times New Roman" w:hAnsi="Times New Roman"/>
                <w:color w:val="000000"/>
                <w:sz w:val="20"/>
              </w:rPr>
            </w:pPr>
            <w:r>
              <w:rPr>
                <w:rFonts w:ascii="Times New Roman" w:hAnsi="Times New Roman"/>
                <w:color w:val="000000"/>
                <w:sz w:val="20"/>
              </w:rPr>
              <w:t>Adjusted net income (2)(3)</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$275 to $279 million</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$271 to $277 million</w:t>
            </w:r>
          </w:p>
        </w:tc>
      </w:tr>
      <w:tr>
        <w:trPr/>
        <w:tc>
          <w:tcPr>
            <w:tcW w:w="3665" w:type="dxa"/>
            <w:tcBorders/>
            <w:shd w:fill="CCEEFF" w:val="clear"/>
            <w:vAlign w:val="bottom"/>
          </w:tcPr>
          <w:p>
            <w:pPr>
              <w:pStyle w:val="TableContents"/>
              <w:bidi w:val="0"/>
              <w:spacing w:lineRule="auto" w:line="240" w:before="0" w:after="0"/>
              <w:ind w:left="180" w:right="0" w:hanging="180"/>
              <w:jc w:val="left"/>
              <w:rPr>
                <w:rFonts w:ascii="Times New Roman" w:hAnsi="Times New Roman"/>
                <w:color w:val="000000"/>
                <w:sz w:val="20"/>
              </w:rPr>
            </w:pPr>
            <w:r>
              <w:rPr>
                <w:rFonts w:ascii="Times New Roman" w:hAnsi="Times New Roman"/>
                <w:color w:val="000000"/>
                <w:sz w:val="20"/>
              </w:rPr>
              <w:t>Adjusted net income per diluted share(2)(3)</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$4.57 to $4.65</w:t>
            </w:r>
          </w:p>
        </w:tc>
        <w:tc>
          <w:tcPr>
            <w:tcW w:w="60" w:type="dxa"/>
            <w:tcBorders/>
            <w:shd w:fill="CCEEFF" w:val="clear"/>
            <w:vAlign w:val="bottom"/>
          </w:tcPr>
          <w:p>
            <w:pPr>
              <w:pStyle w:val="TableContents"/>
              <w:bidi w:val="0"/>
              <w:spacing w:before="0" w:after="283"/>
              <w:jc w:val="right"/>
              <w:rPr/>
            </w:pPr>
            <w:r>
              <w:rPr/>
              <w:t> </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$4.45 to $4.55</w:t>
            </w:r>
          </w:p>
        </w:tc>
      </w:tr>
      <w:tr>
        <w:trPr/>
        <w:tc>
          <w:tcPr>
            <w:tcW w:w="3665" w:type="dxa"/>
            <w:tcBorders/>
            <w:vAlign w:val="bottom"/>
          </w:tcPr>
          <w:p>
            <w:pPr>
              <w:pStyle w:val="TableContents"/>
              <w:bidi w:val="0"/>
              <w:spacing w:lineRule="auto" w:line="240" w:before="0" w:after="0"/>
              <w:ind w:left="180" w:right="0" w:hanging="180"/>
              <w:jc w:val="left"/>
              <w:rPr>
                <w:rFonts w:ascii="Times New Roman" w:hAnsi="Times New Roman"/>
                <w:color w:val="000000"/>
                <w:sz w:val="20"/>
              </w:rPr>
            </w:pPr>
            <w:r>
              <w:rPr>
                <w:rFonts w:ascii="Times New Roman" w:hAnsi="Times New Roman"/>
                <w:color w:val="000000"/>
                <w:sz w:val="20"/>
              </w:rPr>
              <w:t>Annual effective tax rate(3)</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r>
      <w:tr>
        <w:trPr/>
        <w:tc>
          <w:tcPr>
            <w:tcW w:w="36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Diluted weighted average shares outstanding</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~60.0 million</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~60.9 million</w:t>
            </w:r>
          </w:p>
        </w:tc>
      </w:tr>
      <w:tr>
        <w:trPr/>
        <w:tc>
          <w:tcPr>
            <w:tcW w:w="366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Capital expenditures</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 to $113 million</w:t>
            </w:r>
          </w:p>
        </w:tc>
        <w:tc>
          <w:tcPr>
            <w:tcW w:w="60"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 to $113 million</w:t>
            </w:r>
          </w:p>
        </w:tc>
      </w:tr>
      <w:tr>
        <w:trPr/>
        <w:tc>
          <w:tcPr>
            <w:tcW w:w="366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Share repurchases</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~$175 million</w:t>
            </w:r>
          </w:p>
        </w:tc>
        <w:tc>
          <w:tcPr>
            <w:tcW w:w="60"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 million</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5" w:name="zed40817859a9462c82fc5d21da276114"/>
      <w:bookmarkStart w:id="36" w:name="zed40817859a9462c82fc5d21da276114"/>
      <w:bookmarkEnd w:id="36"/>
    </w:p>
    <w:tbl>
      <w:tblPr>
        <w:tblW w:w="10075" w:type="dxa"/>
        <w:jc w:val="left"/>
        <w:tblInd w:w="0" w:type="dxa"/>
        <w:tblLayout w:type="fixed"/>
        <w:tblCellMar>
          <w:top w:w="0" w:type="dxa"/>
          <w:left w:w="0" w:type="dxa"/>
          <w:bottom w:w="0" w:type="dxa"/>
          <w:right w:w="0" w:type="dxa"/>
        </w:tblCellMar>
      </w:tblPr>
      <w:tblGrid>
        <w:gridCol w:w="305"/>
        <w:gridCol w:w="9770"/>
      </w:tblGrid>
      <w:tr>
        <w:trPr/>
        <w:tc>
          <w:tcPr>
            <w:tcW w:w="305"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(1)</w:t>
            </w:r>
          </w:p>
        </w:tc>
        <w:tc>
          <w:tcPr>
            <w:tcW w:w="9770" w:type="dxa"/>
            <w:tcBorders/>
            <w:vAlign w:val="center"/>
          </w:tcPr>
          <w:p>
            <w:pPr>
              <w:pStyle w:val="TableContents"/>
              <w:bidi w:val="0"/>
              <w:spacing w:before="0" w:after="0"/>
              <w:jc w:val="left"/>
              <w:rPr>
                <w:rFonts w:ascii="Times New Roman" w:hAnsi="Times New Roman"/>
              </w:rPr>
            </w:pPr>
            <w:r>
              <w:rPr>
                <w:rFonts w:ascii="Times New Roman" w:hAnsi="Times New Roman"/>
              </w:rPr>
              <w:t>New store openings is a gross number that does not include two store closures related to storm damage.</w:t>
            </w:r>
          </w:p>
        </w:tc>
      </w:tr>
    </w:tbl>
    <w:p>
      <w:pPr>
        <w:pStyle w:val="Normal"/>
        <w:bidi w:val="0"/>
        <w:spacing w:before="0" w:after="0"/>
        <w:jc w:val="left"/>
        <w:rPr>
          <w:sz w:val="4"/>
          <w:szCs w:val="4"/>
        </w:rPr>
      </w:pPr>
      <w:r>
        <w:rPr>
          <w:sz w:val="4"/>
          <w:szCs w:val="4"/>
        </w:rPr>
      </w:r>
      <w:bookmarkStart w:id="37" w:name="zaad15c46d48549c190926243af7d9a08"/>
      <w:bookmarkStart w:id="38" w:name="zaad15c46d48549c190926243af7d9a08"/>
      <w:bookmarkEnd w:id="38"/>
    </w:p>
    <w:tbl>
      <w:tblPr>
        <w:tblW w:w="5485" w:type="dxa"/>
        <w:jc w:val="left"/>
        <w:tblInd w:w="0" w:type="dxa"/>
        <w:tblLayout w:type="fixed"/>
        <w:tblCellMar>
          <w:top w:w="0" w:type="dxa"/>
          <w:left w:w="0" w:type="dxa"/>
          <w:bottom w:w="0" w:type="dxa"/>
          <w:right w:w="0" w:type="dxa"/>
        </w:tblCellMar>
      </w:tblPr>
      <w:tblGrid>
        <w:gridCol w:w="305"/>
        <w:gridCol w:w="5180"/>
      </w:tblGrid>
      <w:tr>
        <w:trPr/>
        <w:tc>
          <w:tcPr>
            <w:tcW w:w="305"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(2)</w:t>
            </w:r>
          </w:p>
        </w:tc>
        <w:tc>
          <w:tcPr>
            <w:tcW w:w="5180" w:type="dxa"/>
            <w:tcBorders/>
            <w:vAlign w:val="center"/>
          </w:tcPr>
          <w:p>
            <w:pPr>
              <w:pStyle w:val="TableContents"/>
              <w:bidi w:val="0"/>
              <w:spacing w:before="0" w:after="0"/>
              <w:jc w:val="left"/>
              <w:rPr>
                <w:rFonts w:ascii="Times New Roman" w:hAnsi="Times New Roman"/>
              </w:rPr>
            </w:pPr>
            <w:r>
              <w:rPr>
                <w:rFonts w:ascii="Times New Roman" w:hAnsi="Times New Roman"/>
              </w:rPr>
              <w:t>Includes interest income of approximately $22 million.</w:t>
            </w:r>
          </w:p>
        </w:tc>
      </w:tr>
    </w:tbl>
    <w:p>
      <w:pPr>
        <w:pStyle w:val="Normal"/>
        <w:bidi w:val="0"/>
        <w:spacing w:before="0" w:after="0"/>
        <w:jc w:val="left"/>
        <w:rPr>
          <w:sz w:val="4"/>
          <w:szCs w:val="4"/>
        </w:rPr>
      </w:pPr>
      <w:r>
        <w:rPr>
          <w:sz w:val="4"/>
          <w:szCs w:val="4"/>
        </w:rPr>
      </w:r>
      <w:bookmarkStart w:id="39" w:name="z20f49c8c0ca3414aa0ed45959e85a276"/>
      <w:bookmarkStart w:id="40" w:name="z20f49c8c0ca3414aa0ed45959e85a276"/>
      <w:bookmarkEnd w:id="40"/>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(3)</w:t>
            </w:r>
          </w:p>
        </w:tc>
        <w:tc>
          <w:tcPr>
            <w:tcW w:w="9924" w:type="dxa"/>
            <w:tcBorders/>
            <w:vAlign w:val="center"/>
          </w:tcPr>
          <w:p>
            <w:pPr>
              <w:pStyle w:val="TableContents"/>
              <w:bidi w:val="0"/>
              <w:spacing w:before="0" w:after="0"/>
              <w:jc w:val="left"/>
              <w:rPr>
                <w:rFonts w:ascii="Times New Roman" w:hAnsi="Times New Roman"/>
                <w:color w:val="000000"/>
              </w:rPr>
            </w:pPr>
            <w:r>
              <w:rPr>
                <w:rFonts w:ascii="Times New Roman" w:hAnsi="Times New Roman"/>
                <w:color w:val="000000"/>
              </w:rPr>
              <w:t>Excludes the excess tax benefits related to stock-based compensation, as the Company cannot predict such estimates without unreasonable effort.</w:t>
            </w:r>
          </w:p>
        </w:tc>
      </w:tr>
    </w:tbl>
    <w:p>
      <w:pPr>
        <w:pStyle w:val="TextBody"/>
        <w:bidi w:val="0"/>
        <w:spacing w:before="0" w:after="0"/>
        <w:jc w:val="left"/>
        <w:rPr>
          <w:sz w:val="20"/>
        </w:rPr>
      </w:pPr>
      <w:r>
        <w:rPr>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Conference Call Information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A conference call to discuss second quarter 2026 financial results is scheduled for today, September 2, 2026, at 8:30 a.m. Eastern Time. To access the live conference call, please preregister </w:t>
      </w:r>
      <w:r>
        <w:rPr>
          <w:rFonts w:ascii="Times New Roman" w:hAnsi="Times New Roman"/>
          <w:color w:val="000000"/>
          <w:sz w:val="20"/>
          <w:u w:val="single"/>
        </w:rPr>
        <w:t xml:space="preserve">here. </w:t>
      </w:r>
      <w:r>
        <w:rPr>
          <w:rFonts w:ascii="Times New Roman" w:hAnsi="Times New Roman"/>
          <w:color w:val="000000"/>
          <w:sz w:val="20"/>
        </w:rPr>
        <w:t xml:space="preserve">Registrants will receive a confirmation with dial-in instructions. Interested parties can also listen to a live webcast or replay of the conference call by logging on to the Investor Relations section on the Company’s website at </w:t>
      </w:r>
      <w:r>
        <w:rPr>
          <w:rFonts w:ascii="Times New Roman" w:hAnsi="Times New Roman"/>
          <w:color w:val="000000"/>
          <w:sz w:val="20"/>
          <w:u w:val="single"/>
        </w:rPr>
        <w:t>https://investors.ollies.com.</w:t>
      </w:r>
      <w:r>
        <w:rPr>
          <w:rFonts w:ascii="Times New Roman" w:hAnsi="Times New Roman"/>
          <w:color w:val="000000"/>
          <w:sz w:val="20"/>
        </w:rPr>
        <w:t xml:space="preserve"> A replay of the conference call webcast will be available on the investor relations website for one year.</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bookmarkStart w:id="41" w:name="z_Hlk213678293"/>
      <w:bookmarkEnd w:id="41"/>
      <w:r>
        <w:rPr>
          <w:rFonts w:ascii="Times New Roman" w:hAnsi="Times New Roman"/>
          <w:b/>
          <w:color w:val="000000"/>
          <w:sz w:val="20"/>
        </w:rPr>
        <w:t>About Ollie’s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42" w:name="z_Hlk213677613"/>
      <w:bookmarkEnd w:id="42"/>
      <w:r>
        <w:rPr>
          <w:rFonts w:ascii="Times New Roman" w:hAnsi="Times New Roman"/>
          <w:color w:val="000000"/>
          <w:sz w:val="20"/>
        </w:rPr>
        <w:t xml:space="preserve">Ollie’s is a leading off-price retailer of brand-name household products. Since our founding in 1982, our mission has been to sell Good Stuff Cheap®. We do this through a flexible buying model that focuses on closeout merchandise and excess inventory from suppliers and manufacturers around the world. Our stores offer Real Brands! Real Bargains! ® in a treasure hunt environment at prices up to 70% below traditional retailers. As of August 1, 2026, we operated 686 stores in 36 states and growing! For more information, visit </w:t>
      </w:r>
      <w:bookmarkStart w:id="43" w:name="z_Hlk215586707"/>
      <w:bookmarkEnd w:id="43"/>
      <w:r>
        <w:rPr>
          <w:rFonts w:ascii="Times New Roman" w:hAnsi="Times New Roman"/>
          <w:color w:val="000000"/>
          <w:sz w:val="20"/>
          <w:u w:val="single"/>
        </w:rPr>
        <w:t>www.ollies.com.</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Non-GAAP Reconciliation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Company’s results are reported in this press release on a GAAP and as adjusted, non-GAAP basis. Adjusted net income (loss), Adjusted net income (loss) per diluted share, EBITDA, and Adjusted EBITDA are non-GAAP measures, and are not intended to replace GAAP financial information, and may be different from non-GAAP measures reported by other companies. The Company believes the income and expense items excluded as non-GAAP adjustments are not reflective of the performance of its core business, and that providing this supplemental disclosure to investors will facilitate comparisons of the past and present performance of its core business.</w:t>
      </w:r>
    </w:p>
    <w:p>
      <w:pPr>
        <w:pStyle w:val="TextBody"/>
        <w:bidi w:val="0"/>
        <w:spacing w:before="0" w:after="0"/>
        <w:jc w:val="left"/>
        <w:rPr>
          <w:sz w:val="20"/>
        </w:rPr>
      </w:pPr>
      <w:r>
        <w:rPr>
          <w:sz w:val="20"/>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57350" cy="561975"/>
                    </a:xfrm>
                    <a:prstGeom prst="rect">
                      <a:avLst/>
                    </a:prstGeom>
                  </pic:spPr>
                </pic:pic>
              </a:graphicData>
            </a:graphic>
          </wp:inline>
        </w:drawing>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Please refer to the “Reconciliation of GAAP to Non-GAAP Financial Measures” table included in this press release, which sets forth the non-GAAP operating adjustments for the 13-week and 26-week periods ended August 1, 2026 and August 2, 2025.</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contains certain forward-looking statements, which includes but is not limited to statements regarding industry trends, value creation, customer trends, new stores, distribution centers, and various financial outlook figures, including new store openings, net sales, comparable store sales, gross margin, SG&amp;A, operating income, net income, adjusted net income, adjusted net income per diluted share, effective tax rate, diluted weighted average shares outstanding and capital expenditures. All forward-looking statements are subject to the safe harbor provisions of the Private Securities Litigation Reform Act of 1995, are subject to the finalization of the Company’s quarterly financial and accounting procedures, and may be affected by certain risks and uncertainties, any one, or a combination, of which could materially affect the results of the Company’s operations. Forward-looking statements are usually identified by or are associated with such words as “could”, “may”, “might”, “will,” “likely”, “anticipates”, “intends”, “plans”, “believes”, “estimates”, “expects”, “continues”, “projects”, “forecasts”, and similar terminology. Actual results could vary materially from the expectations reflected in these statements. As with any business, all phases of our operations are subject to factors outside of our control. These factors include, without limitation, the impact of the recent tariff announcements and the corresponding macroeconomic pressures and those factors discussed in the “Risk Factors” section of the Company’s Annual Reports or Form 10-K and other filings with the Securities and Exchange Commission. Forward-looking statements made by or on behalf of the Company are based on knowledge of its business and the environment in which it operates, but because of the factors listed above, actual results could differ materially from those reflected by any forward-looking statements. Consequently, all of the forward-looking statements made are qualified by these cautionary statements and those contained in the Company’s Annual Report on Form 10-K, quarterly reports on Form 10-Q, and other filings with the Securities and Exchange Commission. There can be no assurance that the results or developments anticipated by the Company will be realized or, even if substantially realized, that they will have the expected consequences to or effects on the Company or its business and operations. Readers are cautioned not to place undue reliance on these forward-looking statements, which speak only as of the date hereof. The Company does not undertake any obligation to release publicly any revisions to these forward-looking statements to reflect events or circumstances after the date hereof or to reflect the occurrence of unanticipated events, except as required by law.</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John Rouleau</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Managing Director, Corporate Communication &amp; Business Development</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JRouleau@ollies.us </w:t>
      </w:r>
    </w:p>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Media Contact</w:t>
      </w:r>
    </w:p>
    <w:p>
      <w:pPr>
        <w:pStyle w:val="TextBody"/>
        <w:bidi w:val="0"/>
        <w:spacing w:before="0" w:after="0"/>
        <w:jc w:val="left"/>
        <w:rPr>
          <w:color w:val="000000"/>
        </w:rPr>
      </w:pPr>
      <w:r>
        <w:rPr>
          <w:color w:val="000000"/>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Tom Kuypers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Senior Vice President, Marketing</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tkuypers@ollies.us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57350" cy="5619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Ollie’s Bargain Outlet Holdings,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Statements of Income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 thousands except for per share amounts)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4" w:name="z1581bca2a8734f4193281f86c78f8234"/>
      <w:bookmarkStart w:id="45" w:name="z1581bca2a8734f4193281f86c78f8234"/>
      <w:bookmarkEnd w:id="45"/>
    </w:p>
    <w:tbl>
      <w:tblPr>
        <w:tblW w:w="8615" w:type="dxa"/>
        <w:jc w:val="left"/>
        <w:tblInd w:w="0" w:type="dxa"/>
        <w:tblLayout w:type="fixed"/>
        <w:tblCellMar>
          <w:top w:w="0" w:type="dxa"/>
          <w:left w:w="0" w:type="dxa"/>
          <w:bottom w:w="0" w:type="dxa"/>
          <w:right w:w="0" w:type="dxa"/>
        </w:tblCellMar>
      </w:tblPr>
      <w:tblGrid>
        <w:gridCol w:w="4040"/>
        <w:gridCol w:w="60"/>
        <w:gridCol w:w="125"/>
        <w:gridCol w:w="695"/>
        <w:gridCol w:w="185"/>
        <w:gridCol w:w="60"/>
        <w:gridCol w:w="125"/>
        <w:gridCol w:w="695"/>
        <w:gridCol w:w="185"/>
        <w:gridCol w:w="60"/>
        <w:gridCol w:w="125"/>
        <w:gridCol w:w="845"/>
        <w:gridCol w:w="185"/>
        <w:gridCol w:w="60"/>
        <w:gridCol w:w="125"/>
        <w:gridCol w:w="845"/>
        <w:gridCol w:w="200"/>
      </w:tblGrid>
      <w:tr>
        <w:trPr/>
        <w:tc>
          <w:tcPr>
            <w:tcW w:w="404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8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200"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200" w:type="dxa"/>
            <w:tcBorders/>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741,305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679,556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1,400,233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1,256,323</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sales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419,140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408,218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802,104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747,954</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Gross profit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322,165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271,338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598,129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508,369</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Selling, general and administrative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197,213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175,476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385,895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340,308</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Depreciation and amortization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11,274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9,916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22,557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19,273</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Pre-opening expenses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5,203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8,972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11,645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15,628</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Operating income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108,475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76,974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178,032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133,160</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income, net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(6,142</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(4,534</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(11,108</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(9,322</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before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114,617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81,508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189,140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142,482</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expense</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29,163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20,198</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47,286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33,612</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540" w:right="0" w:hanging="180"/>
              <w:jc w:val="left"/>
              <w:rPr>
                <w:rFonts w:ascii="Times New Roman" w:hAnsi="Times New Roman"/>
                <w:b/>
                <w:sz w:val="20"/>
              </w:rPr>
            </w:pPr>
            <w:r>
              <w:rPr>
                <w:rFonts w:ascii="Times New Roman" w:hAnsi="Times New Roman"/>
                <w:b/>
                <w:sz w:val="20"/>
              </w:rPr>
              <w:t>Net income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85,454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61,310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141,854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108,870</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Earnings per common share: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1.77</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Weighted average common shares outstanding:</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Basic</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60,097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61,340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60,490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61,342</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Diluted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60,236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61,796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60,713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61,806</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b/>
                <w:sz w:val="20"/>
              </w:rPr>
            </w:pPr>
            <w:r>
              <w:rPr>
                <w:rFonts w:ascii="Times New Roman" w:hAnsi="Times New Roman"/>
                <w:b/>
                <w:sz w:val="20"/>
              </w:rPr>
              <w:t>Percentage of net sales: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sales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100.0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Cost of sales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56.5</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60.1</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59.5</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Gross profit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43.5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39.9</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40.5</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Selling, general and administrative expenses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25.8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27.6</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27.1</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Depreciation and amortization expenses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Pre-opening expenses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Operating income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14.6</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12.7</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10.6</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Interest income, net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(0.8</w:t>
            </w:r>
          </w:p>
        </w:tc>
        <w:tc>
          <w:tcPr>
            <w:tcW w:w="18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before income taxes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12.0</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13.5</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11.3</w:t>
            </w:r>
          </w:p>
        </w:tc>
        <w:tc>
          <w:tcPr>
            <w:tcW w:w="200" w:type="dxa"/>
            <w:tcBorders/>
            <w:vAlign w:val="bottom"/>
          </w:tcPr>
          <w:p>
            <w:pPr>
              <w:pStyle w:val="TableContents"/>
              <w:bidi w:val="0"/>
              <w:spacing w:before="0" w:after="283"/>
              <w:jc w:val="left"/>
              <w:rPr/>
            </w:pPr>
            <w:r>
              <w:rPr/>
              <w:t> </w:t>
            </w:r>
          </w:p>
        </w:tc>
      </w:tr>
      <w:tr>
        <w:trPr/>
        <w:tc>
          <w:tcPr>
            <w:tcW w:w="4040"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200" w:type="dxa"/>
            <w:tcBorders/>
            <w:shd w:fill="CCEEFF" w:val="clear"/>
            <w:vAlign w:val="bottom"/>
          </w:tcPr>
          <w:p>
            <w:pPr>
              <w:pStyle w:val="TableContents"/>
              <w:bidi w:val="0"/>
              <w:spacing w:before="0" w:after="283"/>
              <w:jc w:val="left"/>
              <w:rPr/>
            </w:pPr>
            <w:r>
              <w:rPr/>
              <w:t> </w:t>
            </w:r>
          </w:p>
        </w:tc>
      </w:tr>
      <w:tr>
        <w:trPr/>
        <w:tc>
          <w:tcPr>
            <w:tcW w:w="4040"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9.0</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w:t>
            </w:r>
          </w:p>
        </w:tc>
        <w:tc>
          <w:tcPr>
            <w:tcW w:w="18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8.7</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bl>
    <w:p>
      <w:pPr>
        <w:pStyle w:val="TextBody"/>
        <w:bidi w:val="0"/>
        <w:spacing w:before="0" w:after="0"/>
        <w:jc w:val="left"/>
        <w:rPr/>
      </w:pPr>
      <w:r>
        <w:rPr/>
      </w:r>
    </w:p>
    <w:p>
      <w:pPr>
        <w:pStyle w:val="TextBody"/>
        <w:bidi w:val="0"/>
        <w:spacing w:before="0" w:after="0"/>
        <w:ind w:left="180" w:right="0" w:hanging="180"/>
        <w:jc w:val="left"/>
        <w:rPr>
          <w:rFonts w:ascii="Times New Roman" w:hAnsi="Times New Roman"/>
          <w:color w:val="000000"/>
          <w:sz w:val="20"/>
        </w:rPr>
      </w:pPr>
      <w:r>
        <w:rPr>
          <w:rFonts w:ascii="Times New Roman" w:hAnsi="Times New Roman"/>
          <w:color w:val="000000"/>
          <w:sz w:val="20"/>
        </w:rPr>
        <w:t>Components may not add to totals due to rounding.</w:t>
      </w:r>
    </w:p>
    <w:p>
      <w:pPr>
        <w:pStyle w:val="TextBody"/>
        <w:bidi w:val="0"/>
        <w:spacing w:before="0" w:after="0"/>
        <w:ind w:left="180" w:right="0" w:hanging="180"/>
        <w:jc w:val="left"/>
        <w:rPr>
          <w:rFonts w:ascii="Times New Roman" w:hAnsi="Times New Roman"/>
        </w:rPr>
      </w:pPr>
      <w:r>
        <w:rPr>
          <w:rFonts w:ascii="Times New Roman" w:hAnsi="Times New Roman"/>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657350" cy="5619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Ollie’s Bargain Outlet Holdings,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Balance Sheets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6" w:name="z1b093ff7fb5f4fcd86c531c41493de97"/>
      <w:bookmarkStart w:id="47" w:name="z1b093ff7fb5f4fcd86c531c41493de97"/>
      <w:bookmarkEnd w:id="47"/>
    </w:p>
    <w:tbl>
      <w:tblPr>
        <w:tblW w:w="6080" w:type="dxa"/>
        <w:jc w:val="left"/>
        <w:tblInd w:w="0" w:type="dxa"/>
        <w:tblLayout w:type="fixed"/>
        <w:tblCellMar>
          <w:top w:w="0" w:type="dxa"/>
          <w:left w:w="0" w:type="dxa"/>
          <w:bottom w:w="0" w:type="dxa"/>
          <w:right w:w="0" w:type="dxa"/>
        </w:tblCellMar>
      </w:tblPr>
      <w:tblGrid>
        <w:gridCol w:w="3845"/>
        <w:gridCol w:w="60"/>
        <w:gridCol w:w="125"/>
        <w:gridCol w:w="845"/>
        <w:gridCol w:w="80"/>
        <w:gridCol w:w="60"/>
        <w:gridCol w:w="125"/>
        <w:gridCol w:w="845"/>
        <w:gridCol w:w="95"/>
      </w:tblGrid>
      <w:tr>
        <w:trPr/>
        <w:tc>
          <w:tcPr>
            <w:tcW w:w="38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9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Assets</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70" w:type="dxa"/>
            <w:gridSpan w:val="2"/>
            <w:tcBorders/>
            <w:vAlign w:val="bottom"/>
          </w:tcPr>
          <w:p>
            <w:pPr>
              <w:pStyle w:val="TableContents"/>
              <w:bidi w:val="0"/>
              <w:spacing w:before="0" w:after="283"/>
              <w:jc w:val="lef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Cash and cash equivalents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120,765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231,163</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Short-term investments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66,737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85,893</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Inventories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704,433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637,236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receivable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7,801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1,810</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Prepaid expenses and other current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17,187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11,716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current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916,923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967,818</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419,234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360,836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694,113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652,341</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444,850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444,850</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Trade name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230,559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230,559</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Long-term investments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319,592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143,206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2,242</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assets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3,027,596</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2,801,852</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Liabilities and Stockholders’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long-term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809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518</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Accounts payable</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190,207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165,629</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Income taxes payable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5,755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129</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Current portion of operating lease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99,157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103,122</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Accrued expenses and other current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115,656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98,968</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current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411,584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368,366</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debt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1,420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912</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94,733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85,640</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Long-term portion of operating lease liabilities</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624,260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561,024</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liabilities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1,131,997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1,015,942</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Stockholders’ equity:</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Common stock</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68</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Additional paid-in capital</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764,299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84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745,636</w:t>
            </w:r>
          </w:p>
        </w:tc>
        <w:tc>
          <w:tcPr>
            <w:tcW w:w="95" w:type="dxa"/>
            <w:tcBorders/>
            <w:vAlign w:val="bottom"/>
          </w:tcPr>
          <w:p>
            <w:pPr>
              <w:pStyle w:val="TableContents"/>
              <w:bidi w:val="0"/>
              <w:spacing w:before="0" w:after="283"/>
              <w:jc w:val="left"/>
              <w:rPr/>
            </w:pPr>
            <w:r>
              <w:rPr/>
              <w:t> </w:t>
            </w:r>
          </w:p>
        </w:tc>
      </w:tr>
      <w:tr>
        <w:trPr/>
        <w:tc>
          <w:tcPr>
            <w:tcW w:w="3845"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Retained earnings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1,750,163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84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1,476,583</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Treasury - common stock</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(618,931</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bottom w:val="single" w:sz="12" w:space="0" w:color="000000"/>
            </w:tcBorders>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(436,377</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845" w:type="dxa"/>
            <w:tcBorders/>
            <w:shd w:fill="CCEEFF" w:val="clear"/>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stockholders’ equity</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1,895,599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4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1,785,910</w:t>
            </w:r>
          </w:p>
        </w:tc>
        <w:tc>
          <w:tcPr>
            <w:tcW w:w="95" w:type="dxa"/>
            <w:tcBorders/>
            <w:shd w:fill="CCEEFF" w:val="clear"/>
            <w:vAlign w:val="bottom"/>
          </w:tcPr>
          <w:p>
            <w:pPr>
              <w:pStyle w:val="TableContents"/>
              <w:bidi w:val="0"/>
              <w:spacing w:before="0" w:after="283"/>
              <w:jc w:val="left"/>
              <w:rPr/>
            </w:pPr>
            <w:r>
              <w:rPr/>
              <w:t> </w:t>
            </w:r>
          </w:p>
        </w:tc>
      </w:tr>
      <w:tr>
        <w:trPr/>
        <w:tc>
          <w:tcPr>
            <w:tcW w:w="3845" w:type="dxa"/>
            <w:tcBorders/>
            <w:vAlign w:val="bottom"/>
          </w:tcPr>
          <w:p>
            <w:pPr>
              <w:pStyle w:val="TableContents"/>
              <w:bidi w:val="0"/>
              <w:spacing w:before="0" w:after="0"/>
              <w:ind w:left="360" w:right="0" w:hanging="0"/>
              <w:jc w:val="left"/>
              <w:rPr>
                <w:rFonts w:ascii="Times New Roman" w:hAnsi="Times New Roman"/>
                <w:b/>
                <w:sz w:val="20"/>
              </w:rPr>
            </w:pPr>
            <w:r>
              <w:rPr>
                <w:rFonts w:ascii="Times New Roman" w:hAnsi="Times New Roman"/>
                <w:b/>
                <w:sz w:val="20"/>
              </w:rPr>
              <w:t>Total liabilities and stockholders’ equity</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3,027,596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4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2,801,852</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57350" cy="5619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Ollie’s Bargain Outlet Holdings,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Condensed Consolidated Statements of Cash Flows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48" w:name="zce56f4a204e34012891cd0b4631f5674"/>
      <w:bookmarkStart w:id="49" w:name="zce56f4a204e34012891cd0b4631f5674"/>
      <w:bookmarkEnd w:id="49"/>
    </w:p>
    <w:tbl>
      <w:tblPr>
        <w:tblW w:w="8400" w:type="dxa"/>
        <w:jc w:val="left"/>
        <w:tblInd w:w="0" w:type="dxa"/>
        <w:tblLayout w:type="fixed"/>
        <w:tblCellMar>
          <w:top w:w="0" w:type="dxa"/>
          <w:left w:w="0" w:type="dxa"/>
          <w:bottom w:w="0" w:type="dxa"/>
          <w:right w:w="0" w:type="dxa"/>
        </w:tblCellMar>
      </w:tblPr>
      <w:tblGrid>
        <w:gridCol w:w="4235"/>
        <w:gridCol w:w="60"/>
        <w:gridCol w:w="125"/>
        <w:gridCol w:w="755"/>
        <w:gridCol w:w="80"/>
        <w:gridCol w:w="60"/>
        <w:gridCol w:w="125"/>
        <w:gridCol w:w="695"/>
        <w:gridCol w:w="80"/>
        <w:gridCol w:w="60"/>
        <w:gridCol w:w="137"/>
        <w:gridCol w:w="832"/>
        <w:gridCol w:w="88"/>
        <w:gridCol w:w="66"/>
        <w:gridCol w:w="137"/>
        <w:gridCol w:w="770"/>
        <w:gridCol w:w="95"/>
      </w:tblGrid>
      <w:tr>
        <w:trPr/>
        <w:tc>
          <w:tcPr>
            <w:tcW w:w="42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184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95"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9"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07"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95" w:type="dxa"/>
            <w:tcBorders/>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180"/>
              <w:jc w:val="left"/>
              <w:rPr/>
            </w:pPr>
            <w:r>
              <w:rPr/>
              <w:t> </w:t>
            </w:r>
          </w:p>
        </w:tc>
        <w:tc>
          <w:tcPr>
            <w:tcW w:w="60" w:type="dxa"/>
            <w:tcBorders/>
            <w:vAlign w:val="bottom"/>
          </w:tcPr>
          <w:p>
            <w:pPr>
              <w:pStyle w:val="TableContents"/>
              <w:bidi w:val="0"/>
              <w:spacing w:before="0" w:after="283"/>
              <w:jc w:val="left"/>
              <w:rPr/>
            </w:pPr>
            <w:r>
              <w:rPr/>
              <w:t> </w:t>
            </w:r>
          </w:p>
        </w:tc>
        <w:tc>
          <w:tcPr>
            <w:tcW w:w="88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90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cash provided by operating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108,124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80,712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153,625</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109,414</w:t>
            </w:r>
          </w:p>
        </w:tc>
        <w:tc>
          <w:tcPr>
            <w:tcW w:w="9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cash used in investing activities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(101,095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(39,744</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(150,656</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(58,010</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35" w:type="dxa"/>
            <w:tcBorders/>
            <w:shd w:fill="CCEEFF" w:val="clear"/>
            <w:vAlign w:val="bottom"/>
          </w:tcPr>
          <w:p>
            <w:pPr>
              <w:pStyle w:val="TableContents"/>
              <w:bidi w:val="0"/>
              <w:spacing w:before="0" w:after="0"/>
              <w:ind w:left="180" w:right="0" w:hanging="180"/>
              <w:jc w:val="left"/>
              <w:rPr>
                <w:rFonts w:ascii="Times New Roman" w:hAnsi="Times New Roman"/>
                <w:sz w:val="20"/>
              </w:rPr>
            </w:pPr>
            <w:r>
              <w:rPr>
                <w:rFonts w:ascii="Times New Roman" w:hAnsi="Times New Roman"/>
                <w:sz w:val="20"/>
              </w:rPr>
              <w:t>Net cash used in financing activities</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(83,937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(8,823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(141,884</w:t>
            </w:r>
          </w:p>
        </w:tc>
        <w:tc>
          <w:tcPr>
            <w:tcW w:w="8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(25,364</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Net increase (decrease) in cash and cash equivalents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(76,908</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32,145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83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(138,915</w:t>
            </w:r>
          </w:p>
        </w:tc>
        <w:tc>
          <w:tcPr>
            <w:tcW w:w="8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 w:type="dxa"/>
            <w:tcBorders/>
            <w:vAlign w:val="bottom"/>
          </w:tcPr>
          <w:p>
            <w:pPr>
              <w:pStyle w:val="TableContents"/>
              <w:bidi w:val="0"/>
              <w:spacing w:before="0" w:after="283"/>
              <w:jc w:val="right"/>
              <w:rPr/>
            </w:pPr>
            <w:r>
              <w:rPr/>
              <w:t> </w:t>
            </w:r>
          </w:p>
        </w:tc>
        <w:tc>
          <w:tcPr>
            <w:tcW w:w="137" w:type="dxa"/>
            <w:tcBorders/>
            <w:vAlign w:val="bottom"/>
          </w:tcPr>
          <w:p>
            <w:pPr>
              <w:pStyle w:val="TableContents"/>
              <w:bidi w:val="0"/>
              <w:spacing w:before="0" w:after="283"/>
              <w:jc w:val="left"/>
              <w:rPr/>
            </w:pPr>
            <w:r>
              <w:rPr/>
              <w:t> </w:t>
            </w:r>
          </w:p>
        </w:tc>
        <w:tc>
          <w:tcPr>
            <w:tcW w:w="77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26,040</w:t>
            </w:r>
          </w:p>
        </w:tc>
        <w:tc>
          <w:tcPr>
            <w:tcW w:w="95" w:type="dxa"/>
            <w:tcBorders/>
            <w:vAlign w:val="bottom"/>
          </w:tcPr>
          <w:p>
            <w:pPr>
              <w:pStyle w:val="TableContents"/>
              <w:bidi w:val="0"/>
              <w:spacing w:before="0" w:after="283"/>
              <w:jc w:val="left"/>
              <w:rPr/>
            </w:pPr>
            <w:r>
              <w:rPr/>
              <w:t> </w:t>
            </w:r>
          </w:p>
        </w:tc>
      </w:tr>
      <w:tr>
        <w:trPr/>
        <w:tc>
          <w:tcPr>
            <w:tcW w:w="4235" w:type="dxa"/>
            <w:tcBorders/>
            <w:shd w:fill="CCEEFF" w:val="clear"/>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Cash and cash equivalents, beginning of the period</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5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197,673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199,018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3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259,680</w:t>
            </w:r>
          </w:p>
        </w:tc>
        <w:tc>
          <w:tcPr>
            <w:tcW w:w="88"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right"/>
              <w:rPr/>
            </w:pPr>
            <w:r>
              <w:rPr/>
              <w:t> </w:t>
            </w:r>
          </w:p>
        </w:tc>
        <w:tc>
          <w:tcPr>
            <w:tcW w:w="13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70"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205,123</w:t>
            </w:r>
          </w:p>
        </w:tc>
        <w:tc>
          <w:tcPr>
            <w:tcW w:w="95" w:type="dxa"/>
            <w:tcBorders/>
            <w:shd w:fill="CCEEFF" w:val="clear"/>
            <w:vAlign w:val="bottom"/>
          </w:tcPr>
          <w:p>
            <w:pPr>
              <w:pStyle w:val="TableContents"/>
              <w:bidi w:val="0"/>
              <w:spacing w:before="0" w:after="283"/>
              <w:jc w:val="left"/>
              <w:rPr/>
            </w:pPr>
            <w:r>
              <w:rPr/>
              <w:t> </w:t>
            </w:r>
          </w:p>
        </w:tc>
      </w:tr>
      <w:tr>
        <w:trPr/>
        <w:tc>
          <w:tcPr>
            <w:tcW w:w="4235" w:type="dxa"/>
            <w:tcBorders/>
            <w:vAlign w:val="bottom"/>
          </w:tcPr>
          <w:p>
            <w:pPr>
              <w:pStyle w:val="TableContents"/>
              <w:bidi w:val="0"/>
              <w:spacing w:before="0" w:after="0"/>
              <w:ind w:left="360" w:right="0" w:hanging="180"/>
              <w:jc w:val="left"/>
              <w:rPr>
                <w:rFonts w:ascii="Times New Roman" w:hAnsi="Times New Roman"/>
                <w:sz w:val="20"/>
              </w:rPr>
            </w:pPr>
            <w:r>
              <w:rPr>
                <w:rFonts w:ascii="Times New Roman" w:hAnsi="Times New Roman"/>
                <w:sz w:val="20"/>
              </w:rPr>
              <w:t>Cash and cash equivalents, end of the period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5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120,765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231,163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3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120,765</w:t>
            </w:r>
          </w:p>
        </w:tc>
        <w:tc>
          <w:tcPr>
            <w:tcW w:w="88"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right"/>
              <w:rPr/>
            </w:pPr>
            <w:r>
              <w:rPr/>
              <w:t> </w:t>
            </w:r>
          </w:p>
        </w:tc>
        <w:tc>
          <w:tcPr>
            <w:tcW w:w="13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70"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231,163</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sz w:val="20"/>
        </w:rPr>
      </w:pPr>
      <w:r>
        <w:rPr>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Ollie’s Bargain Outlet Holdings,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Reconciliation of GAAP to Non-GAAP Financial Measures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(In thousands except for per share amounts)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0" w:name="zd80d46ff491a4d51ab703a9ceeb142c2"/>
      <w:bookmarkStart w:id="51" w:name="zd80d46ff491a4d51ab703a9ceeb142c2"/>
      <w:bookmarkEnd w:id="51"/>
    </w:p>
    <w:tbl>
      <w:tblPr>
        <w:tblW w:w="9024" w:type="dxa"/>
        <w:jc w:val="left"/>
        <w:tblInd w:w="0" w:type="dxa"/>
        <w:tblLayout w:type="fixed"/>
        <w:tblCellMar>
          <w:top w:w="0" w:type="dxa"/>
          <w:left w:w="0" w:type="dxa"/>
          <w:bottom w:w="0" w:type="dxa"/>
          <w:right w:w="0" w:type="dxa"/>
        </w:tblCellMar>
      </w:tblPr>
      <w:tblGrid>
        <w:gridCol w:w="4850"/>
        <w:gridCol w:w="60"/>
        <w:gridCol w:w="136"/>
        <w:gridCol w:w="761"/>
        <w:gridCol w:w="87"/>
        <w:gridCol w:w="65"/>
        <w:gridCol w:w="138"/>
        <w:gridCol w:w="662"/>
        <w:gridCol w:w="80"/>
        <w:gridCol w:w="60"/>
        <w:gridCol w:w="142"/>
        <w:gridCol w:w="792"/>
        <w:gridCol w:w="91"/>
        <w:gridCol w:w="68"/>
        <w:gridCol w:w="142"/>
        <w:gridCol w:w="795"/>
        <w:gridCol w:w="95"/>
      </w:tblGrid>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9"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30"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Twenty-six weeks ended</w:t>
            </w:r>
          </w:p>
        </w:tc>
        <w:tc>
          <w:tcPr>
            <w:tcW w:w="9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7"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37"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95" w:type="dxa"/>
            <w:tcBorders/>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9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80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3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9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85,454</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61,310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141,854</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108,870</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Excess tax benefits related to stock-based compensation (1)</w:t>
            </w:r>
          </w:p>
        </w:tc>
        <w:tc>
          <w:tcPr>
            <w:tcW w:w="60" w:type="dxa"/>
            <w:tcBorders/>
            <w:vAlign w:val="bottom"/>
          </w:tcPr>
          <w:p>
            <w:pPr>
              <w:pStyle w:val="TableContents"/>
              <w:bidi w:val="0"/>
              <w:spacing w:before="0" w:after="283"/>
              <w:jc w:val="right"/>
              <w:rPr/>
            </w:pPr>
            <w:r>
              <w:rPr/>
              <w:t> </w:t>
            </w:r>
          </w:p>
        </w:tc>
        <w:tc>
          <w:tcPr>
            <w:tcW w:w="136" w:type="dxa"/>
            <w:tcBorders>
              <w:bottom w:val="single" w:sz="12" w:space="0" w:color="000000"/>
            </w:tcBorders>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right"/>
              <w:rPr/>
            </w:pPr>
            <w:r>
              <w:rPr/>
              <w:t> </w:t>
            </w:r>
          </w:p>
        </w:tc>
        <w:tc>
          <w:tcPr>
            <w:tcW w:w="138" w:type="dxa"/>
            <w:tcBorders>
              <w:bottom w:val="single" w:sz="12" w:space="0" w:color="000000"/>
            </w:tcBorders>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(501</w:t>
            </w:r>
          </w:p>
        </w:tc>
        <w:tc>
          <w:tcPr>
            <w:tcW w:w="9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 w:type="dxa"/>
            <w:tcBorders/>
            <w:vAlign w:val="bottom"/>
          </w:tcPr>
          <w:p>
            <w:pPr>
              <w:pStyle w:val="TableContents"/>
              <w:bidi w:val="0"/>
              <w:spacing w:before="0" w:after="283"/>
              <w:jc w:val="right"/>
              <w:rPr/>
            </w:pPr>
            <w:r>
              <w:rPr/>
              <w:t> </w:t>
            </w:r>
          </w:p>
        </w:tc>
        <w:tc>
          <w:tcPr>
            <w:tcW w:w="142" w:type="dxa"/>
            <w:tcBorders>
              <w:bottom w:val="single" w:sz="12" w:space="0" w:color="000000"/>
            </w:tcBorders>
            <w:tcMar>
              <w:bottom w:w="28" w:type="dxa"/>
            </w:tcMar>
            <w:vAlign w:val="bottom"/>
          </w:tcPr>
          <w:p>
            <w:pPr>
              <w:pStyle w:val="TableContents"/>
              <w:bidi w:val="0"/>
              <w:spacing w:before="0" w:after="283"/>
              <w:jc w:val="left"/>
              <w:rPr/>
            </w:pPr>
            <w:r>
              <w:rPr/>
              <w:t> </w:t>
            </w:r>
          </w:p>
        </w:tc>
        <w:tc>
          <w:tcPr>
            <w:tcW w:w="79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(1,912</w:t>
            </w:r>
          </w:p>
        </w:tc>
        <w:tc>
          <w:tcPr>
            <w:tcW w:w="9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85,447</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60,885</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141,353</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106,958</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Net income per diluted share</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2.34</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1.76</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Adjustments as noted above, per dilutive share:</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283"/>
              <w:jc w:val="right"/>
              <w:rPr/>
            </w:pPr>
            <w:r>
              <w:rPr/>
              <w:t> </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283"/>
              <w:jc w:val="right"/>
              <w:rPr/>
            </w:pPr>
            <w:r>
              <w:rPr/>
              <w:t> </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283"/>
              <w:jc w:val="right"/>
              <w:rPr/>
            </w:pPr>
            <w:r>
              <w:rPr/>
              <w:t> </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lineRule="auto" w:line="240" w:before="0" w:after="0"/>
              <w:ind w:left="180" w:right="0" w:hanging="0"/>
              <w:jc w:val="left"/>
              <w:rPr>
                <w:rFonts w:ascii="Times New Roman" w:hAnsi="Times New Roman"/>
                <w:color w:val="000000"/>
                <w:sz w:val="20"/>
              </w:rPr>
            </w:pPr>
            <w:r>
              <w:rPr>
                <w:rFonts w:ascii="Times New Roman" w:hAnsi="Times New Roman"/>
                <w:color w:val="000000"/>
                <w:sz w:val="20"/>
              </w:rPr>
              <w:t>Excess tax benefits related to stock-based compensation (1)</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(0.00</w:t>
            </w:r>
          </w:p>
        </w:tc>
        <w:tc>
          <w:tcPr>
            <w:tcW w:w="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(0.01</w:t>
            </w:r>
          </w:p>
        </w:tc>
        <w:tc>
          <w:tcPr>
            <w:tcW w:w="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(0.03</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income per diluted share</w:t>
            </w:r>
          </w:p>
        </w:tc>
        <w:tc>
          <w:tcPr>
            <w:tcW w:w="60"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1.42</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0.99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1.73</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Diluted weighted-average common shares outstanding</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60,236</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61,796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60,713</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61,806</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283"/>
              <w:jc w:val="right"/>
              <w:rPr/>
            </w:pPr>
            <w:r>
              <w:rPr/>
              <w:t> </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283"/>
              <w:jc w:val="right"/>
              <w:rPr/>
            </w:pPr>
            <w:r>
              <w:rPr/>
              <w:t> </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283"/>
              <w:jc w:val="right"/>
              <w:rPr/>
            </w:pPr>
            <w:r>
              <w:rPr/>
              <w:t> </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85,454</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61,310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141,854</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108,870</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Interest income, net</w:t>
            </w:r>
          </w:p>
        </w:tc>
        <w:tc>
          <w:tcPr>
            <w:tcW w:w="60" w:type="dxa"/>
            <w:tcBorders/>
            <w:shd w:fill="CCEEFF" w:val="clear"/>
            <w:vAlign w:val="bottom"/>
          </w:tcPr>
          <w:p>
            <w:pPr>
              <w:pStyle w:val="TableContents"/>
              <w:bidi w:val="0"/>
              <w:spacing w:before="0" w:after="283"/>
              <w:jc w:val="right"/>
              <w:rPr/>
            </w:pPr>
            <w:r>
              <w:rPr/>
              <w:t> </w:t>
            </w:r>
          </w:p>
        </w:tc>
        <w:tc>
          <w:tcPr>
            <w:tcW w:w="136" w:type="dxa"/>
            <w:tcBorders/>
            <w:shd w:fill="CCEEFF" w:val="clear"/>
            <w:vAlign w:val="bottom"/>
          </w:tcPr>
          <w:p>
            <w:pPr>
              <w:pStyle w:val="TableContents"/>
              <w:bidi w:val="0"/>
              <w:spacing w:before="0" w:after="283"/>
              <w:jc w:val="left"/>
              <w:rPr/>
            </w:pPr>
            <w:r>
              <w:rPr/>
              <w:t> </w:t>
            </w:r>
          </w:p>
        </w:tc>
        <w:tc>
          <w:tcPr>
            <w:tcW w:w="76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(6,142</w:t>
            </w:r>
          </w:p>
        </w:tc>
        <w:tc>
          <w:tcPr>
            <w:tcW w:w="8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right"/>
              <w:rPr/>
            </w:pPr>
            <w:r>
              <w:rPr/>
              <w:t> </w:t>
            </w:r>
          </w:p>
        </w:tc>
        <w:tc>
          <w:tcPr>
            <w:tcW w:w="138" w:type="dxa"/>
            <w:tcBorders/>
            <w:shd w:fill="CCEEFF" w:val="clear"/>
            <w:vAlign w:val="bottom"/>
          </w:tcPr>
          <w:p>
            <w:pPr>
              <w:pStyle w:val="TableContents"/>
              <w:bidi w:val="0"/>
              <w:spacing w:before="0" w:after="283"/>
              <w:jc w:val="left"/>
              <w:rPr/>
            </w:pPr>
            <w:r>
              <w:rPr/>
              <w:t> </w:t>
            </w:r>
          </w:p>
        </w:tc>
        <w:tc>
          <w:tcPr>
            <w:tcW w:w="66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(4,534</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92"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(11,108</w:t>
            </w:r>
          </w:p>
        </w:tc>
        <w:tc>
          <w:tcPr>
            <w:tcW w:w="9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8" w:type="dxa"/>
            <w:tcBorders/>
            <w:shd w:fill="CCEEFF" w:val="clear"/>
            <w:vAlign w:val="bottom"/>
          </w:tcPr>
          <w:p>
            <w:pPr>
              <w:pStyle w:val="TableContents"/>
              <w:bidi w:val="0"/>
              <w:spacing w:before="0" w:after="283"/>
              <w:jc w:val="right"/>
              <w:rPr/>
            </w:pPr>
            <w:r>
              <w:rPr/>
              <w:t> </w:t>
            </w:r>
          </w:p>
        </w:tc>
        <w:tc>
          <w:tcPr>
            <w:tcW w:w="142" w:type="dxa"/>
            <w:tcBorders/>
            <w:shd w:fill="CCEEFF" w:val="clear"/>
            <w:vAlign w:val="bottom"/>
          </w:tcPr>
          <w:p>
            <w:pPr>
              <w:pStyle w:val="TableContents"/>
              <w:bidi w:val="0"/>
              <w:spacing w:before="0" w:after="283"/>
              <w:jc w:val="left"/>
              <w:rPr/>
            </w:pPr>
            <w:r>
              <w:rPr/>
              <w:t> </w:t>
            </w:r>
          </w:p>
        </w:tc>
        <w:tc>
          <w:tcPr>
            <w:tcW w:w="7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(9,322</w:t>
            </w:r>
          </w:p>
        </w:tc>
        <w:tc>
          <w:tcPr>
            <w:tcW w:w="9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Depreciation and amortization expenses</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14,892</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13,452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29,826</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26,261</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29,163</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20,198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47,286</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33,612</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EBITDA</w:t>
            </w:r>
          </w:p>
        </w:tc>
        <w:tc>
          <w:tcPr>
            <w:tcW w:w="60" w:type="dxa"/>
            <w:tcBorders/>
            <w:vAlign w:val="bottom"/>
          </w:tcPr>
          <w:p>
            <w:pPr>
              <w:pStyle w:val="TableContents"/>
              <w:bidi w:val="0"/>
              <w:spacing w:before="0" w:after="283"/>
              <w:jc w:val="right"/>
              <w:rPr/>
            </w:pPr>
            <w:r>
              <w:rPr/>
              <w:t> </w:t>
            </w:r>
          </w:p>
        </w:tc>
        <w:tc>
          <w:tcPr>
            <w:tcW w:w="136" w:type="dxa"/>
            <w:tcBorders/>
            <w:vAlign w:val="bottom"/>
          </w:tcPr>
          <w:p>
            <w:pPr>
              <w:pStyle w:val="TableContents"/>
              <w:bidi w:val="0"/>
              <w:spacing w:before="0" w:after="283"/>
              <w:jc w:val="left"/>
              <w:rPr/>
            </w:pPr>
            <w:r>
              <w:rPr/>
              <w:t> </w:t>
            </w:r>
          </w:p>
        </w:tc>
        <w:tc>
          <w:tcPr>
            <w:tcW w:w="76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123,367</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vAlign w:val="bottom"/>
          </w:tcPr>
          <w:p>
            <w:pPr>
              <w:pStyle w:val="TableContents"/>
              <w:bidi w:val="0"/>
              <w:spacing w:before="0" w:after="283"/>
              <w:jc w:val="left"/>
              <w:rPr/>
            </w:pPr>
            <w:r>
              <w:rPr/>
              <w:t> </w:t>
            </w:r>
          </w:p>
        </w:tc>
        <w:tc>
          <w:tcPr>
            <w:tcW w:w="66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90,426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2"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207,858</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vAlign w:val="bottom"/>
          </w:tcPr>
          <w:p>
            <w:pPr>
              <w:pStyle w:val="TableContents"/>
              <w:bidi w:val="0"/>
              <w:spacing w:before="0" w:after="283"/>
              <w:jc w:val="left"/>
              <w:rPr/>
            </w:pPr>
            <w:r>
              <w:rPr/>
              <w:t> </w:t>
            </w:r>
          </w:p>
        </w:tc>
        <w:tc>
          <w:tcPr>
            <w:tcW w:w="7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159,421</w:t>
            </w:r>
          </w:p>
        </w:tc>
        <w:tc>
          <w:tcPr>
            <w:tcW w:w="95" w:type="dxa"/>
            <w:tcBorders/>
            <w:vAlign w:val="bottom"/>
          </w:tcPr>
          <w:p>
            <w:pPr>
              <w:pStyle w:val="TableContents"/>
              <w:bidi w:val="0"/>
              <w:spacing w:before="0" w:after="283"/>
              <w:jc w:val="left"/>
              <w:rPr/>
            </w:pPr>
            <w:r>
              <w:rPr/>
              <w:t> </w:t>
            </w:r>
          </w:p>
        </w:tc>
      </w:tr>
      <w:tr>
        <w:trPr/>
        <w:tc>
          <w:tcPr>
            <w:tcW w:w="485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Non-cash stock-based compensation expense</w:t>
            </w:r>
          </w:p>
        </w:tc>
        <w:tc>
          <w:tcPr>
            <w:tcW w:w="60" w:type="dxa"/>
            <w:tcBorders/>
            <w:shd w:fill="CCEEFF" w:val="clear"/>
            <w:vAlign w:val="bottom"/>
          </w:tcPr>
          <w:p>
            <w:pPr>
              <w:pStyle w:val="TableContents"/>
              <w:bidi w:val="0"/>
              <w:spacing w:before="0" w:after="283"/>
              <w:jc w:val="right"/>
              <w:rPr/>
            </w:pPr>
            <w:r>
              <w:rPr/>
              <w:t> </w:t>
            </w:r>
          </w:p>
        </w:tc>
        <w:tc>
          <w:tcPr>
            <w:tcW w:w="13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1"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3,728</w:t>
            </w:r>
          </w:p>
        </w:tc>
        <w:tc>
          <w:tcPr>
            <w:tcW w:w="87"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right"/>
              <w:rPr/>
            </w:pPr>
            <w:r>
              <w:rPr/>
              <w:t> </w:t>
            </w:r>
          </w:p>
        </w:tc>
        <w:tc>
          <w:tcPr>
            <w:tcW w:w="138"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6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3,360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2"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7,129</w:t>
            </w:r>
          </w:p>
        </w:tc>
        <w:tc>
          <w:tcPr>
            <w:tcW w:w="9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right"/>
              <w:rPr/>
            </w:pPr>
            <w:r>
              <w:rPr/>
              <w:t> </w:t>
            </w:r>
          </w:p>
        </w:tc>
        <w:tc>
          <w:tcPr>
            <w:tcW w:w="142"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6,524</w:t>
            </w:r>
          </w:p>
        </w:tc>
        <w:tc>
          <w:tcPr>
            <w:tcW w:w="95" w:type="dxa"/>
            <w:tcBorders/>
            <w:shd w:fill="CCEEFF" w:val="clear"/>
            <w:vAlign w:val="bottom"/>
          </w:tcPr>
          <w:p>
            <w:pPr>
              <w:pStyle w:val="TableContents"/>
              <w:bidi w:val="0"/>
              <w:spacing w:before="0" w:after="283"/>
              <w:jc w:val="left"/>
              <w:rPr/>
            </w:pPr>
            <w:r>
              <w:rPr/>
              <w:t> </w:t>
            </w:r>
          </w:p>
        </w:tc>
      </w:tr>
      <w:tr>
        <w:trPr/>
        <w:tc>
          <w:tcPr>
            <w:tcW w:w="485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vAlign w:val="bottom"/>
          </w:tcPr>
          <w:p>
            <w:pPr>
              <w:pStyle w:val="TableContents"/>
              <w:bidi w:val="0"/>
              <w:spacing w:before="0" w:after="283"/>
              <w:jc w:val="right"/>
              <w:rPr/>
            </w:pPr>
            <w:r>
              <w:rPr/>
              <w:t> </w:t>
            </w:r>
          </w:p>
        </w:tc>
        <w:tc>
          <w:tcPr>
            <w:tcW w:w="13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1"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127,095</w:t>
            </w:r>
          </w:p>
        </w:tc>
        <w:tc>
          <w:tcPr>
            <w:tcW w:w="87"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right"/>
              <w:rPr/>
            </w:pPr>
            <w:r>
              <w:rPr/>
              <w:t> </w:t>
            </w:r>
          </w:p>
        </w:tc>
        <w:tc>
          <w:tcPr>
            <w:tcW w:w="138"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6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93,786</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2"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214,987</w:t>
            </w:r>
          </w:p>
        </w:tc>
        <w:tc>
          <w:tcPr>
            <w:tcW w:w="9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right"/>
              <w:rPr/>
            </w:pPr>
            <w:r>
              <w:rPr/>
              <w:t> </w:t>
            </w:r>
          </w:p>
        </w:tc>
        <w:tc>
          <w:tcPr>
            <w:tcW w:w="142"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165,945</w:t>
            </w:r>
          </w:p>
        </w:tc>
        <w:tc>
          <w:tcPr>
            <w:tcW w:w="95" w:type="dxa"/>
            <w:tcBorders/>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b/>
          <w:sz w:val="20"/>
        </w:rPr>
      </w:pPr>
      <w:r>
        <w:rPr>
          <w:rFonts w:ascii="Times New Roman" w:hAnsi="Times New Roman"/>
          <w:b/>
          <w:sz w:val="20"/>
        </w:rPr>
      </w:r>
    </w:p>
    <w:p>
      <w:pPr>
        <w:pStyle w:val="HorizontalLine"/>
        <w:pBdr>
          <w:bottom w:val="single" w:sz="12" w:space="0" w:color="808080"/>
        </w:pBdr>
        <w:bidi w:val="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Components may not add to totals due to rounding.</w:t>
      </w:r>
    </w:p>
    <w:p>
      <w:pPr>
        <w:pStyle w:val="Normal"/>
        <w:bidi w:val="0"/>
        <w:spacing w:before="0" w:after="0"/>
        <w:jc w:val="left"/>
        <w:rPr>
          <w:sz w:val="4"/>
          <w:szCs w:val="4"/>
        </w:rPr>
      </w:pPr>
      <w:r>
        <w:rPr>
          <w:sz w:val="4"/>
          <w:szCs w:val="4"/>
        </w:rPr>
      </w:r>
      <w:bookmarkStart w:id="52" w:name="zed2c37ef939540d7add962f30bd8d678"/>
      <w:bookmarkStart w:id="53" w:name="zed2c37ef939540d7add962f30bd8d678"/>
      <w:bookmarkEnd w:id="53"/>
    </w:p>
    <w:tbl>
      <w:tblPr>
        <w:tblW w:w="10205" w:type="dxa"/>
        <w:jc w:val="left"/>
        <w:tblInd w:w="0" w:type="dxa"/>
        <w:tblLayout w:type="fixed"/>
        <w:tblCellMar>
          <w:top w:w="0" w:type="dxa"/>
          <w:left w:w="0" w:type="dxa"/>
          <w:bottom w:w="0" w:type="dxa"/>
          <w:right w:w="0" w:type="dxa"/>
        </w:tblCellMar>
      </w:tblPr>
      <w:tblGrid>
        <w:gridCol w:w="281"/>
        <w:gridCol w:w="9924"/>
      </w:tblGrid>
      <w:tr>
        <w:trPr/>
        <w:tc>
          <w:tcPr>
            <w:tcW w:w="281"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(1)</w:t>
            </w:r>
          </w:p>
        </w:tc>
        <w:tc>
          <w:tcPr>
            <w:tcW w:w="9924" w:type="dxa"/>
            <w:tcBorders/>
            <w:vAlign w:val="center"/>
          </w:tcPr>
          <w:p>
            <w:pPr>
              <w:pStyle w:val="TableContents"/>
              <w:bidi w:val="0"/>
              <w:spacing w:before="0" w:after="0"/>
              <w:jc w:val="left"/>
              <w:rPr>
                <w:rFonts w:ascii="Times New Roman" w:hAnsi="Times New Roman"/>
              </w:rPr>
            </w:pPr>
            <w:r>
              <w:rPr>
                <w:rFonts w:ascii="Times New Roman" w:hAnsi="Times New Roman"/>
              </w:rPr>
              <w:t>Amount represents the impact from the recognition of excess tax benefits pursuant to Accounting Standards Update 2016-09, Stock Compensation</w:t>
            </w:r>
          </w:p>
        </w:tc>
      </w:tr>
    </w:tbl>
    <w:p>
      <w:pPr>
        <w:pStyle w:val="TextBody"/>
        <w:bidi w:val="0"/>
        <w:spacing w:before="0" w:after="0"/>
        <w:jc w:val="left"/>
        <w:rPr>
          <w:color w:val="000000"/>
        </w:rPr>
      </w:pPr>
      <w:r>
        <w:rPr>
          <w:color w:val="000000"/>
        </w:rPr>
        <w:t> </w:t>
      </w:r>
    </w:p>
    <w:p>
      <w:pPr>
        <w:pStyle w:val="TextBody"/>
        <w:bidi w:val="0"/>
        <w:spacing w:before="200" w:after="200"/>
        <w:jc w:val="left"/>
        <w:rPr/>
      </w:pPr>
      <w:r>
        <w:rPr/>
      </w:r>
    </w:p>
    <w:p>
      <w:pPr>
        <w:pStyle w:val="HorizontalLine"/>
        <w:pBdr>
          <w:bottom w:val="single" w:sz="12" w:space="0" w:color="808080"/>
        </w:pBdr>
        <w:bidi w:val="0"/>
        <w:spacing w:before="200" w:after="20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657350" cy="5619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657350" cy="5619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Ollie’s Bargain Outlet Holdings, Inc.</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Key Statistics (unaudited)</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(Dollars in thousands)</w:t>
      </w:r>
    </w:p>
    <w:p>
      <w:pPr>
        <w:pStyle w:val="TextBody"/>
        <w:bidi w:val="0"/>
        <w:spacing w:before="0" w:after="0"/>
        <w:jc w:val="left"/>
        <w:rPr>
          <w:sz w:val="20"/>
        </w:rPr>
      </w:pPr>
      <w:r>
        <w:rPr>
          <w:sz w:val="20"/>
        </w:rPr>
      </w:r>
    </w:p>
    <w:p>
      <w:pPr>
        <w:pStyle w:val="Normal"/>
        <w:bidi w:val="0"/>
        <w:spacing w:before="0" w:after="0"/>
        <w:jc w:val="left"/>
        <w:rPr>
          <w:sz w:val="4"/>
          <w:szCs w:val="4"/>
        </w:rPr>
      </w:pPr>
      <w:r>
        <w:rPr>
          <w:sz w:val="4"/>
          <w:szCs w:val="4"/>
        </w:rPr>
      </w:r>
      <w:bookmarkStart w:id="54" w:name="z6537de791ac84f8cb57df8ee37416d1a"/>
      <w:bookmarkStart w:id="55" w:name="z6537de791ac84f8cb57df8ee37416d1a"/>
      <w:bookmarkEnd w:id="55"/>
    </w:p>
    <w:tbl>
      <w:tblPr>
        <w:tblW w:w="5450" w:type="dxa"/>
        <w:jc w:val="left"/>
        <w:tblInd w:w="0" w:type="dxa"/>
        <w:tblLayout w:type="fixed"/>
        <w:tblCellMar>
          <w:top w:w="0" w:type="dxa"/>
          <w:left w:w="0" w:type="dxa"/>
          <w:bottom w:w="0" w:type="dxa"/>
          <w:right w:w="0" w:type="dxa"/>
        </w:tblCellMar>
      </w:tblPr>
      <w:tblGrid>
        <w:gridCol w:w="3245"/>
        <w:gridCol w:w="60"/>
        <w:gridCol w:w="125"/>
        <w:gridCol w:w="695"/>
        <w:gridCol w:w="245"/>
        <w:gridCol w:w="60"/>
        <w:gridCol w:w="125"/>
        <w:gridCol w:w="695"/>
        <w:gridCol w:w="200"/>
      </w:tblGrid>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45" w:type="dxa"/>
            <w:gridSpan w:val="6"/>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Thirteen weeks ended</w:t>
            </w:r>
          </w:p>
        </w:tc>
        <w:tc>
          <w:tcPr>
            <w:tcW w:w="200" w:type="dxa"/>
            <w:tcBorders/>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1,</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vAlign w:val="bottom"/>
          </w:tcPr>
          <w:p>
            <w:pPr>
              <w:pStyle w:val="TableContents"/>
              <w:bidi w:val="0"/>
              <w:spacing w:before="0" w:after="0"/>
              <w:jc w:val="center"/>
              <w:rPr>
                <w:rFonts w:ascii="Times New Roman" w:hAnsi="Times New Roman"/>
                <w:b/>
                <w:sz w:val="20"/>
              </w:rPr>
            </w:pPr>
            <w:r>
              <w:rPr>
                <w:rFonts w:ascii="Times New Roman" w:hAnsi="Times New Roman"/>
                <w:b/>
                <w:sz w:val="20"/>
              </w:rPr>
              <w:t>August 2,</w:t>
            </w:r>
          </w:p>
        </w:tc>
        <w:tc>
          <w:tcPr>
            <w:tcW w:w="200" w:type="dxa"/>
            <w:tcBorders/>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b/>
                <w:sz w:val="20"/>
              </w:rPr>
            </w:pPr>
            <w:r>
              <w:rPr>
                <w:rFonts w:ascii="Times New Roman" w:hAnsi="Times New Roman"/>
                <w:b/>
                <w:sz w:val="20"/>
              </w:rPr>
              <w:t>2025</w:t>
            </w:r>
          </w:p>
        </w:tc>
        <w:tc>
          <w:tcPr>
            <w:tcW w:w="200"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Number of stores - beginning of period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672</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584</w:t>
            </w:r>
          </w:p>
        </w:tc>
        <w:tc>
          <w:tcPr>
            <w:tcW w:w="200"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Store openings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200"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lineRule="auto" w:line="240" w:before="0" w:after="0"/>
              <w:ind w:left="180" w:right="0" w:hanging="0"/>
              <w:jc w:val="left"/>
              <w:rPr>
                <w:rFonts w:ascii="Times New Roman" w:hAnsi="Times New Roman"/>
                <w:color w:val="000000"/>
                <w:sz w:val="20"/>
              </w:rPr>
            </w:pPr>
            <w:r>
              <w:rPr>
                <w:rFonts w:ascii="Times New Roman" w:hAnsi="Times New Roman"/>
                <w:color w:val="000000"/>
                <w:sz w:val="20"/>
              </w:rPr>
              <w:t>Store closings (1)</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69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200"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Number of stores - end of period</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686</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bottom w:val="double" w:sz="8" w:space="0" w:color="000000"/>
            </w:tcBorders>
            <w:tcMar>
              <w:bottom w:w="28" w:type="dxa"/>
            </w:tcMar>
            <w:vAlign w:val="bottom"/>
          </w:tcPr>
          <w:p>
            <w:pPr>
              <w:pStyle w:val="TableContents"/>
              <w:bidi w:val="0"/>
              <w:spacing w:before="0" w:after="283"/>
              <w:jc w:val="left"/>
              <w:rPr/>
            </w:pPr>
            <w:r>
              <w:rPr/>
              <w:t> </w:t>
            </w:r>
          </w:p>
        </w:tc>
        <w:tc>
          <w:tcPr>
            <w:tcW w:w="69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613</w:t>
            </w:r>
          </w:p>
        </w:tc>
        <w:tc>
          <w:tcPr>
            <w:tcW w:w="200"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Yr/yr store growth</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16.8</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Comparable stores sales change</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20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3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Comparable store count – end of period</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575</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510</w:t>
            </w:r>
          </w:p>
        </w:tc>
        <w:tc>
          <w:tcPr>
            <w:tcW w:w="200"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lineRule="auto" w:line="240" w:before="0" w:after="0"/>
              <w:jc w:val="left"/>
              <w:rPr>
                <w:rFonts w:ascii="Times New Roman" w:hAnsi="Times New Roman"/>
                <w:color w:val="000000"/>
                <w:sz w:val="20"/>
              </w:rPr>
            </w:pPr>
            <w:r>
              <w:rPr>
                <w:rFonts w:ascii="Times New Roman" w:hAnsi="Times New Roman"/>
                <w:color w:val="000000"/>
                <w:sz w:val="20"/>
              </w:rPr>
              <w:t>Total cash and investments (2)</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507,094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460,262</w:t>
            </w:r>
          </w:p>
        </w:tc>
        <w:tc>
          <w:tcPr>
            <w:tcW w:w="200" w:type="dxa"/>
            <w:tcBorders/>
            <w:vAlign w:val="bottom"/>
          </w:tcPr>
          <w:p>
            <w:pPr>
              <w:pStyle w:val="TableContents"/>
              <w:bidi w:val="0"/>
              <w:spacing w:before="0" w:after="283"/>
              <w:jc w:val="left"/>
              <w:rPr/>
            </w:pPr>
            <w:r>
              <w:rPr/>
              <w:t> </w:t>
            </w:r>
          </w:p>
        </w:tc>
      </w:tr>
      <w:tr>
        <w:trPr/>
        <w:tc>
          <w:tcPr>
            <w:tcW w:w="324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43,309</w:t>
            </w:r>
          </w:p>
        </w:tc>
        <w:tc>
          <w:tcPr>
            <w:tcW w:w="24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right"/>
              <w:rPr/>
            </w:pPr>
            <w:r>
              <w:rPr/>
              <w:t> </w:t>
            </w:r>
          </w:p>
        </w:tc>
        <w:tc>
          <w:tcPr>
            <w:tcW w:w="125"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26,416</w:t>
            </w:r>
          </w:p>
        </w:tc>
        <w:tc>
          <w:tcPr>
            <w:tcW w:w="200" w:type="dxa"/>
            <w:tcBorders/>
            <w:shd w:fill="CCEEFF" w:val="clear"/>
            <w:vAlign w:val="bottom"/>
          </w:tcPr>
          <w:p>
            <w:pPr>
              <w:pStyle w:val="TableContents"/>
              <w:bidi w:val="0"/>
              <w:spacing w:before="0" w:after="283"/>
              <w:jc w:val="left"/>
              <w:rPr/>
            </w:pPr>
            <w:r>
              <w:rPr/>
              <w:t> </w:t>
            </w:r>
          </w:p>
        </w:tc>
      </w:tr>
      <w:tr>
        <w:trPr/>
        <w:tc>
          <w:tcPr>
            <w:tcW w:w="324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Share repurchases</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83,964</w:t>
            </w:r>
          </w:p>
        </w:tc>
        <w:tc>
          <w:tcPr>
            <w:tcW w:w="2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right"/>
              <w:rPr/>
            </w:pPr>
            <w:r>
              <w:rPr/>
              <w:t> </w:t>
            </w:r>
          </w:p>
        </w:tc>
        <w:tc>
          <w:tcPr>
            <w:tcW w:w="12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9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11,516</w:t>
            </w:r>
          </w:p>
        </w:tc>
        <w:tc>
          <w:tcPr>
            <w:tcW w:w="20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6" w:name="z6a9c3d5aa8a34df8934836fc7cb76929"/>
      <w:bookmarkStart w:id="57" w:name="z6a9c3d5aa8a34df8934836fc7cb76929"/>
      <w:bookmarkEnd w:id="57"/>
    </w:p>
    <w:tbl>
      <w:tblPr>
        <w:tblW w:w="3130" w:type="dxa"/>
        <w:jc w:val="left"/>
        <w:tblInd w:w="0" w:type="dxa"/>
        <w:tblLayout w:type="fixed"/>
        <w:tblCellMar>
          <w:top w:w="0" w:type="dxa"/>
          <w:left w:w="0" w:type="dxa"/>
          <w:bottom w:w="0" w:type="dxa"/>
          <w:right w:w="0" w:type="dxa"/>
        </w:tblCellMar>
      </w:tblPr>
      <w:tblGrid>
        <w:gridCol w:w="305"/>
        <w:gridCol w:w="2825"/>
      </w:tblGrid>
      <w:tr>
        <w:trPr/>
        <w:tc>
          <w:tcPr>
            <w:tcW w:w="305"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(1)</w:t>
            </w:r>
          </w:p>
        </w:tc>
        <w:tc>
          <w:tcPr>
            <w:tcW w:w="2825" w:type="dxa"/>
            <w:tcBorders/>
            <w:vAlign w:val="center"/>
          </w:tcPr>
          <w:p>
            <w:pPr>
              <w:pStyle w:val="TableContents"/>
              <w:bidi w:val="0"/>
              <w:spacing w:before="0" w:after="0"/>
              <w:jc w:val="left"/>
              <w:rPr>
                <w:rFonts w:ascii="Times New Roman" w:hAnsi="Times New Roman"/>
              </w:rPr>
            </w:pPr>
            <w:r>
              <w:rPr>
                <w:rFonts w:ascii="Times New Roman" w:hAnsi="Times New Roman"/>
              </w:rPr>
              <w:t>Due to storm-related damage.</w:t>
            </w:r>
          </w:p>
        </w:tc>
      </w:tr>
    </w:tbl>
    <w:p>
      <w:pPr>
        <w:pStyle w:val="Normal"/>
        <w:bidi w:val="0"/>
        <w:spacing w:before="0" w:after="0"/>
        <w:jc w:val="left"/>
        <w:rPr>
          <w:sz w:val="4"/>
          <w:szCs w:val="4"/>
        </w:rPr>
      </w:pPr>
      <w:r>
        <w:rPr>
          <w:sz w:val="4"/>
          <w:szCs w:val="4"/>
        </w:rPr>
      </w:r>
      <w:bookmarkStart w:id="58" w:name="z08df056f577e48a7b02593409391876b"/>
      <w:bookmarkStart w:id="59" w:name="z08df056f577e48a7b02593409391876b"/>
      <w:bookmarkEnd w:id="59"/>
    </w:p>
    <w:tbl>
      <w:tblPr>
        <w:tblW w:w="8545" w:type="dxa"/>
        <w:jc w:val="left"/>
        <w:tblInd w:w="0" w:type="dxa"/>
        <w:tblLayout w:type="fixed"/>
        <w:tblCellMar>
          <w:top w:w="0" w:type="dxa"/>
          <w:left w:w="0" w:type="dxa"/>
          <w:bottom w:w="0" w:type="dxa"/>
          <w:right w:w="0" w:type="dxa"/>
        </w:tblCellMar>
      </w:tblPr>
      <w:tblGrid>
        <w:gridCol w:w="305"/>
        <w:gridCol w:w="8240"/>
      </w:tblGrid>
      <w:tr>
        <w:trPr/>
        <w:tc>
          <w:tcPr>
            <w:tcW w:w="305" w:type="dxa"/>
            <w:tcBorders/>
            <w:vAlign w:val="center"/>
          </w:tcPr>
          <w:p>
            <w:pPr>
              <w:pStyle w:val="TableContents"/>
              <w:bidi w:val="0"/>
              <w:spacing w:lineRule="auto" w:line="240" w:before="0" w:after="0"/>
              <w:jc w:val="left"/>
              <w:rPr>
                <w:rFonts w:ascii="Times New Roman" w:hAnsi="Times New Roman"/>
              </w:rPr>
            </w:pPr>
            <w:r>
              <w:rPr>
                <w:rFonts w:ascii="Times New Roman" w:hAnsi="Times New Roman"/>
              </w:rPr>
              <w:t>(2)</w:t>
            </w:r>
          </w:p>
        </w:tc>
        <w:tc>
          <w:tcPr>
            <w:tcW w:w="8240" w:type="dxa"/>
            <w:tcBorders/>
            <w:vAlign w:val="center"/>
          </w:tcPr>
          <w:p>
            <w:pPr>
              <w:pStyle w:val="TableContents"/>
              <w:bidi w:val="0"/>
              <w:spacing w:before="0" w:after="0"/>
              <w:jc w:val="left"/>
              <w:rPr>
                <w:rFonts w:ascii="Times New Roman" w:hAnsi="Times New Roman"/>
              </w:rPr>
            </w:pPr>
            <w:r>
              <w:rPr>
                <w:rFonts w:ascii="Times New Roman" w:hAnsi="Times New Roman"/>
              </w:rPr>
              <w:t>Includes cash and cash equivalents, short-term investments, and long-term investments.</w:t>
            </w:r>
          </w:p>
        </w:tc>
      </w:tr>
    </w:tbl>
    <w:p>
      <w:pPr>
        <w:pStyle w:val="TextBody"/>
        <w:bidi w:val="0"/>
        <w:spacing w:before="0" w:after="0"/>
        <w:jc w:val="left"/>
        <w:rPr/>
      </w:pPr>
      <w:r>
        <w:rPr/>
      </w:r>
    </w:p>
    <w:p>
      <w:pPr>
        <w:pStyle w:val="TextBody"/>
        <w:bidi w:val="0"/>
        <w:spacing w:before="0" w:after="0"/>
        <w:jc w:val="left"/>
        <w:rPr/>
      </w:pPr>
      <w:r>
        <w:rPr/>
      </w:r>
    </w:p>
    <w:p>
      <w:pPr>
        <w:pStyle w:val="HorizontalLine"/>
        <w:pBdr>
          <w:bottom w:val="single" w:sz="12" w:space="0" w:color="808080"/>
        </w:pBdr>
        <w:bidi w:val="0"/>
        <w:jc w:val="left"/>
        <w:rPr/>
      </w:pPr>
      <w:r>
        <w:rPr/>
      </w:r>
    </w:p>
    <w:tbl>
      <w:tblPr>
        <w:tblW w:w="543" w:type="dxa"/>
        <w:jc w:val="left"/>
        <w:tblInd w:w="0" w:type="dxa"/>
        <w:tblLayout w:type="fixed"/>
        <w:tblCellMar>
          <w:top w:w="0" w:type="dxa"/>
          <w:left w:w="0" w:type="dxa"/>
          <w:bottom w:w="0" w:type="dxa"/>
          <w:right w:w="0" w:type="dxa"/>
        </w:tblCellMar>
      </w:tblPr>
      <w:tblGrid>
        <w:gridCol w:w="110"/>
        <w:gridCol w:w="60"/>
        <w:gridCol w:w="23"/>
        <w:gridCol w:w="350"/>
      </w:tblGrid>
      <w:tr>
        <w:trPr/>
        <w:tc>
          <w:tcPr>
            <w:tcW w:w="110" w:type="dxa"/>
            <w:tcBorders/>
            <w:vAlign w:val="center"/>
          </w:tcPr>
          <w:p>
            <w:pPr>
              <w:pStyle w:val="TableContents"/>
              <w:bidi w:val="0"/>
              <w:spacing w:before="0" w:after="283"/>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tc>
        <w:tc>
          <w:tcPr>
            <w:tcW w:w="60" w:type="dxa"/>
            <w:tcBorders/>
            <w:vAlign w:val="center"/>
          </w:tcPr>
          <w:p>
            <w:pPr>
              <w:pStyle w:val="TableContents"/>
              <w:bidi w:val="0"/>
              <w:spacing w:before="0" w:after="283"/>
              <w:jc w:val="left"/>
              <w:rPr>
                <w:caps w:val="false"/>
                <w:smallCaps w:val="false"/>
                <w:color w:val="000000"/>
              </w:rPr>
            </w:pPr>
            <w:r>
              <w:rPr>
                <w:caps w:val="false"/>
                <w:smallCaps w:val="false"/>
                <w:color w:val="000000"/>
              </w:rPr>
              <w:t> </w:t>
            </w:r>
          </w:p>
        </w:tc>
        <w:tc>
          <w:tcPr>
            <w:tcW w:w="23" w:type="dxa"/>
            <w:tcBorders>
              <w:left w:val="single" w:sz="12" w:space="0" w:color="000000"/>
            </w:tcBorders>
            <w:tcMar>
              <w:left w:w="28" w:type="dxa"/>
            </w:tcMar>
            <w:vAlign w:val="center"/>
          </w:tcPr>
          <w:p>
            <w:pPr>
              <w:pStyle w:val="TableContents"/>
              <w:bidi w:val="0"/>
              <w:spacing w:before="0" w:after="283"/>
              <w:jc w:val="left"/>
              <w:rPr/>
            </w:pPr>
            <w:r>
              <w:rPr/>
            </w:r>
          </w:p>
        </w:tc>
        <w:tc>
          <w:tcPr>
            <w:tcW w:w="350" w:type="dxa"/>
            <w:tcBorders/>
            <w:vAlign w:val="center"/>
          </w:tcPr>
          <w:p>
            <w:pPr>
              <w:pStyle w:val="TableContents"/>
              <w:bidi w:val="0"/>
              <w:spacing w:before="0" w:after="283"/>
              <w:jc w:val="lef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Page</w:t>
            </w:r>
          </w:p>
        </w:tc>
      </w:tr>
    </w:tbl>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2.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3106</Words>
  <Characters>17005</Characters>
  <CharactersWithSpaces>20421</CharactersWithSpaces>
  <Paragraphs>1833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