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3"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64" w:lineRule="exact"/>
        <w:rPr>
          <w:sz w:val="24"/>
          <w:szCs w:val="24"/>
          <w:color w:val="auto"/>
        </w:rPr>
      </w:pPr>
    </w:p>
    <w:p>
      <w:pPr>
        <w:ind w:left="960" w:hanging="670"/>
        <w:spacing w:after="0"/>
        <w:tabs>
          <w:tab w:leader="none" w:pos="9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February 2, 2019</w:t>
      </w:r>
    </w:p>
    <w:p>
      <w:pPr>
        <w:spacing w:after="0" w:line="75" w:lineRule="exact"/>
        <w:rPr>
          <w:sz w:val="24"/>
          <w:szCs w:val="24"/>
          <w:color w:val="auto"/>
        </w:rPr>
      </w:pPr>
    </w:p>
    <w:p>
      <w:pPr>
        <w:ind w:left="960" w:right="280" w:hanging="628"/>
        <w:spacing w:after="0" w:line="28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sz w:val="24"/>
          <w:szCs w:val="24"/>
          <w:color w:val="auto"/>
        </w:rPr>
      </w:pPr>
    </w:p>
    <w:p>
      <w:pPr>
        <w:ind w:left="2760"/>
        <w:spacing w:after="0"/>
        <w:tabs>
          <w:tab w:leader="none" w:pos="58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3185795</wp:posOffset>
            </wp:positionH>
            <wp:positionV relativeFrom="paragraph">
              <wp:posOffset>-5715</wp:posOffset>
            </wp:positionV>
            <wp:extent cx="11214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141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001-37501</w:t>
      </w:r>
    </w:p>
    <w:p>
      <w:pPr>
        <w:jc w:val="center"/>
        <w:spacing w:after="0" w:line="223" w:lineRule="auto"/>
        <w:rPr>
          <w:sz w:val="20"/>
          <w:szCs w:val="20"/>
          <w:color w:val="auto"/>
        </w:rPr>
      </w:pPr>
      <w:r>
        <w:rPr>
          <w:rFonts w:ascii="Arial" w:cs="Arial" w:eastAsia="Arial" w:hAnsi="Arial"/>
          <w:sz w:val="36"/>
          <w:szCs w:val="36"/>
          <w:b w:val="1"/>
          <w:bCs w:val="1"/>
          <w:color w:val="auto"/>
        </w:rPr>
        <w:t>OLLIE’S BARGAIN OUTLET HOLDINGS,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160" w:type="dxa"/>
            <w:vAlign w:val="bottom"/>
          </w:tcPr>
          <w:p>
            <w:pPr>
              <w:spacing w:after="0"/>
              <w:rPr>
                <w:sz w:val="19"/>
                <w:szCs w:val="19"/>
                <w:color w:val="auto"/>
              </w:rPr>
            </w:pPr>
          </w:p>
        </w:tc>
        <w:tc>
          <w:tcPr>
            <w:tcW w:w="4480" w:type="dxa"/>
            <w:vAlign w:val="bottom"/>
          </w:tcPr>
          <w:p>
            <w:pPr>
              <w:jc w:val="center"/>
              <w:ind w:right="154"/>
              <w:spacing w:after="0"/>
              <w:rPr>
                <w:sz w:val="20"/>
                <w:szCs w:val="20"/>
                <w:color w:val="auto"/>
              </w:rPr>
            </w:pPr>
            <w:r>
              <w:rPr>
                <w:rFonts w:ascii="Arial" w:cs="Arial" w:eastAsia="Arial" w:hAnsi="Arial"/>
                <w:sz w:val="17"/>
                <w:szCs w:val="17"/>
                <w:b w:val="1"/>
                <w:bCs w:val="1"/>
                <w:color w:val="auto"/>
                <w:w w:val="91"/>
              </w:rPr>
              <w:t>Delaware</w:t>
            </w:r>
          </w:p>
        </w:tc>
        <w:tc>
          <w:tcPr>
            <w:tcW w:w="4920" w:type="dxa"/>
            <w:vAlign w:val="bottom"/>
            <w:gridSpan w:val="2"/>
          </w:tcPr>
          <w:p>
            <w:pPr>
              <w:jc w:val="right"/>
              <w:ind w:right="1894"/>
              <w:spacing w:after="0"/>
              <w:rPr>
                <w:sz w:val="20"/>
                <w:szCs w:val="20"/>
                <w:color w:val="auto"/>
              </w:rPr>
            </w:pPr>
            <w:r>
              <w:rPr>
                <w:rFonts w:ascii="Arial" w:cs="Arial" w:eastAsia="Arial" w:hAnsi="Arial"/>
                <w:sz w:val="17"/>
                <w:szCs w:val="17"/>
                <w:b w:val="1"/>
                <w:bCs w:val="1"/>
                <w:color w:val="auto"/>
              </w:rPr>
              <w:t>80-0848819</w:t>
            </w:r>
          </w:p>
        </w:tc>
      </w:tr>
      <w:tr>
        <w:trPr>
          <w:trHeight w:val="221"/>
        </w:trPr>
        <w:tc>
          <w:tcPr>
            <w:tcW w:w="16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tcPr>
          <w:p>
            <w:pPr>
              <w:jc w:val="center"/>
              <w:ind w:right="15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10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(I.R.S. Employer Identification No.)</w:t>
            </w:r>
          </w:p>
        </w:tc>
      </w:tr>
      <w:tr>
        <w:trPr>
          <w:trHeight w:val="264"/>
        </w:trPr>
        <w:tc>
          <w:tcPr>
            <w:tcW w:w="160" w:type="dxa"/>
            <w:vAlign w:val="bottom"/>
          </w:tcPr>
          <w:p>
            <w:pPr>
              <w:spacing w:after="0"/>
              <w:rPr>
                <w:sz w:val="22"/>
                <w:szCs w:val="22"/>
                <w:color w:val="auto"/>
              </w:rPr>
            </w:pPr>
          </w:p>
        </w:tc>
        <w:tc>
          <w:tcPr>
            <w:tcW w:w="4480" w:type="dxa"/>
            <w:vAlign w:val="bottom"/>
          </w:tcPr>
          <w:p>
            <w:pPr>
              <w:jc w:val="center"/>
              <w:ind w:right="134"/>
              <w:spacing w:after="0"/>
              <w:rPr>
                <w:sz w:val="20"/>
                <w:szCs w:val="20"/>
                <w:color w:val="auto"/>
              </w:rPr>
            </w:pPr>
            <w:r>
              <w:rPr>
                <w:rFonts w:ascii="Arial" w:cs="Arial" w:eastAsia="Arial" w:hAnsi="Arial"/>
                <w:sz w:val="17"/>
                <w:szCs w:val="17"/>
                <w:b w:val="1"/>
                <w:bCs w:val="1"/>
                <w:color w:val="auto"/>
                <w:w w:val="91"/>
              </w:rPr>
              <w:t>6295 Allentown Boulevard</w:t>
            </w:r>
          </w:p>
        </w:tc>
        <w:tc>
          <w:tcPr>
            <w:tcW w:w="100" w:type="dxa"/>
            <w:vAlign w:val="bottom"/>
          </w:tcPr>
          <w:p>
            <w:pPr>
              <w:spacing w:after="0"/>
              <w:rPr>
                <w:sz w:val="22"/>
                <w:szCs w:val="22"/>
                <w:color w:val="auto"/>
              </w:rPr>
            </w:pPr>
          </w:p>
        </w:tc>
        <w:tc>
          <w:tcPr>
            <w:tcW w:w="4820" w:type="dxa"/>
            <w:vAlign w:val="bottom"/>
          </w:tcPr>
          <w:p>
            <w:pPr>
              <w:spacing w:after="0"/>
              <w:rPr>
                <w:sz w:val="22"/>
                <w:szCs w:val="22"/>
                <w:color w:val="auto"/>
              </w:rPr>
            </w:pPr>
          </w:p>
        </w:tc>
      </w:tr>
      <w:tr>
        <w:trPr>
          <w:trHeight w:val="203"/>
        </w:trPr>
        <w:tc>
          <w:tcPr>
            <w:tcW w:w="16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89"/>
              </w:rPr>
              <w:t>Suite 1.</w:t>
            </w: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224"/>
        </w:trPr>
        <w:tc>
          <w:tcPr>
            <w:tcW w:w="1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92"/>
              </w:rPr>
              <w:t>Harrisburg, Pennsylvania</w:t>
            </w:r>
          </w:p>
        </w:tc>
        <w:tc>
          <w:tcPr>
            <w:tcW w:w="4920" w:type="dxa"/>
            <w:vAlign w:val="bottom"/>
            <w:gridSpan w:val="2"/>
          </w:tcPr>
          <w:p>
            <w:pPr>
              <w:jc w:val="right"/>
              <w:ind w:right="2094"/>
              <w:spacing w:after="0"/>
              <w:rPr>
                <w:sz w:val="20"/>
                <w:szCs w:val="20"/>
                <w:color w:val="auto"/>
              </w:rPr>
            </w:pPr>
            <w:r>
              <w:rPr>
                <w:rFonts w:ascii="Arial" w:cs="Arial" w:eastAsia="Arial" w:hAnsi="Arial"/>
                <w:sz w:val="17"/>
                <w:szCs w:val="17"/>
                <w:b w:val="1"/>
                <w:bCs w:val="1"/>
                <w:color w:val="auto"/>
              </w:rPr>
              <w:t>17112</w:t>
            </w:r>
          </w:p>
        </w:tc>
      </w:tr>
      <w:tr>
        <w:trPr>
          <w:trHeight w:val="221"/>
        </w:trPr>
        <w:tc>
          <w:tcPr>
            <w:tcW w:w="160" w:type="dxa"/>
            <w:vAlign w:val="bottom"/>
          </w:tcPr>
          <w:p>
            <w:pPr>
              <w:spacing w:after="0"/>
              <w:rPr>
                <w:sz w:val="19"/>
                <w:szCs w:val="19"/>
                <w:color w:val="auto"/>
              </w:rPr>
            </w:pPr>
          </w:p>
        </w:tc>
        <w:tc>
          <w:tcPr>
            <w:tcW w:w="4480" w:type="dxa"/>
            <w:vAlign w:val="bottom"/>
            <w:tcBorders>
              <w:top w:val="single" w:sz="8" w:color="auto"/>
            </w:tcBorders>
          </w:tcPr>
          <w:p>
            <w:pPr>
              <w:jc w:val="center"/>
              <w:ind w:right="154"/>
              <w:spacing w:after="0"/>
              <w:rPr>
                <w:sz w:val="20"/>
                <w:szCs w:val="20"/>
                <w:color w:val="auto"/>
              </w:rPr>
            </w:pPr>
            <w:r>
              <w:rPr>
                <w:rFonts w:ascii="Arial" w:cs="Arial" w:eastAsia="Arial" w:hAnsi="Arial"/>
                <w:sz w:val="17"/>
                <w:szCs w:val="17"/>
                <w:color w:val="auto"/>
                <w:w w:val="93"/>
              </w:rPr>
              <w:t>(Address of principal executive offices)</w:t>
            </w:r>
          </w:p>
        </w:tc>
        <w:tc>
          <w:tcPr>
            <w:tcW w:w="100" w:type="dxa"/>
            <w:vAlign w:val="bottom"/>
          </w:tcPr>
          <w:p>
            <w:pPr>
              <w:spacing w:after="0"/>
              <w:rPr>
                <w:sz w:val="19"/>
                <w:szCs w:val="19"/>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(Zip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(717) 657-2300</w:t>
      </w: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72"/>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00" w:type="dxa"/>
            <w:vAlign w:val="bottom"/>
          </w:tcPr>
          <w:p>
            <w:pPr>
              <w:spacing w:after="0"/>
              <w:rPr>
                <w:sz w:val="23"/>
                <w:szCs w:val="23"/>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21"/>
        </w:trPr>
        <w:tc>
          <w:tcPr>
            <w:tcW w:w="4640" w:type="dxa"/>
            <w:vAlign w:val="bottom"/>
          </w:tcPr>
          <w:p>
            <w:pPr>
              <w:jc w:val="center"/>
              <w:spacing w:after="0"/>
              <w:rPr>
                <w:sz w:val="20"/>
                <w:szCs w:val="20"/>
                <w:color w:val="auto"/>
              </w:rPr>
            </w:pPr>
            <w:r>
              <w:rPr>
                <w:rFonts w:ascii="Arial" w:cs="Arial" w:eastAsia="Arial" w:hAnsi="Arial"/>
                <w:sz w:val="17"/>
                <w:szCs w:val="17"/>
                <w:color w:val="auto"/>
                <w:w w:val="91"/>
              </w:rPr>
              <w:t>Common Stock, $0.001 par value</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5"/>
              </w:rPr>
              <w:t>The NASDAQ Stock Market LLC</w:t>
            </w:r>
          </w:p>
        </w:tc>
      </w:tr>
      <w:tr>
        <w:trPr>
          <w:trHeight w:val="284"/>
        </w:trPr>
        <w:tc>
          <w:tcPr>
            <w:tcW w:w="4640" w:type="dxa"/>
            <w:vAlign w:val="bottom"/>
          </w:tcPr>
          <w:p>
            <w:pPr>
              <w:spacing w:after="0"/>
              <w:rPr>
                <w:sz w:val="20"/>
                <w:szCs w:val="20"/>
                <w:color w:val="auto"/>
              </w:rPr>
            </w:pPr>
            <w:r>
              <w:rPr>
                <w:rFonts w:ascii="Arial" w:cs="Arial" w:eastAsia="Arial" w:hAnsi="Arial"/>
                <w:sz w:val="17"/>
                <w:szCs w:val="17"/>
                <w:color w:val="auto"/>
                <w:w w:val="96"/>
              </w:rPr>
              <w:t xml:space="preserve">Securities registered pursuant to Section 12(g) of the Act: </w:t>
            </w:r>
            <w:r>
              <w:rPr>
                <w:rFonts w:ascii="Arial" w:cs="Arial" w:eastAsia="Arial" w:hAnsi="Arial"/>
                <w:sz w:val="17"/>
                <w:szCs w:val="17"/>
                <w:b w:val="1"/>
                <w:bCs w:val="1"/>
                <w:color w:val="auto"/>
                <w:w w:val="96"/>
              </w:rPr>
              <w:t>None</w:t>
            </w: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line="35" w:lineRule="exact"/>
        <w:rPr>
          <w:sz w:val="24"/>
          <w:szCs w:val="24"/>
          <w:color w:val="auto"/>
        </w:rPr>
      </w:pPr>
    </w:p>
    <w:p>
      <w:pPr>
        <w:ind w:right="520"/>
        <w:spacing w:after="0" w:line="28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8" w:lineRule="exact"/>
        <w:rPr>
          <w:sz w:val="24"/>
          <w:szCs w:val="24"/>
          <w:color w:val="auto"/>
        </w:rPr>
      </w:pPr>
    </w:p>
    <w:p>
      <w:pPr>
        <w:jc w:val="both"/>
        <w:spacing w:after="0" w:line="19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62" w:lineRule="exact"/>
        <w:rPr>
          <w:sz w:val="24"/>
          <w:szCs w:val="24"/>
          <w:color w:val="auto"/>
        </w:rPr>
      </w:pPr>
    </w:p>
    <w:p>
      <w:pPr>
        <w:jc w:val="both"/>
        <w:spacing w:after="0" w:line="196" w:lineRule="exact"/>
        <w:rPr>
          <w:sz w:val="20"/>
          <w:szCs w:val="20"/>
          <w:color w:val="auto"/>
        </w:rPr>
      </w:pPr>
      <w:r>
        <w:rPr>
          <w:rFonts w:ascii="Arial" w:cs="Arial" w:eastAsia="Arial" w:hAnsi="Arial"/>
          <w:sz w:val="17"/>
          <w:szCs w:val="17"/>
          <w:color w:val="auto"/>
        </w:rPr>
        <w:t xml:space="preserve">Indicate by check mark if disclosure of delinquent filers in response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8" w:lineRule="exact"/>
        <w:rPr>
          <w:sz w:val="24"/>
          <w:szCs w:val="24"/>
          <w:color w:val="auto"/>
        </w:rPr>
      </w:pPr>
    </w:p>
    <w:p>
      <w:pPr>
        <w:jc w:val="both"/>
        <w:ind w:right="20"/>
        <w:spacing w:after="0" w:line="23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p>
      <w:pPr>
        <w:spacing w:after="0" w:line="196" w:lineRule="exact"/>
        <w:tabs>
          <w:tab w:leader="none" w:pos="3280" w:val="left"/>
          <w:tab w:leader="none" w:pos="5200" w:val="left"/>
          <w:tab w:leader="none" w:pos="738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o</w:t>
        <w:tab/>
        <w:t>Non-accelerated filer o</w:t>
      </w:r>
      <w:r>
        <w:rPr>
          <w:sz w:val="20"/>
          <w:szCs w:val="20"/>
          <w:color w:val="auto"/>
        </w:rPr>
        <w:tab/>
      </w:r>
      <w:r>
        <w:rPr>
          <w:rFonts w:ascii="Arial" w:cs="Arial" w:eastAsia="Arial" w:hAnsi="Arial"/>
          <w:sz w:val="17"/>
          <w:szCs w:val="17"/>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147" w:lineRule="exact"/>
        <w:rPr>
          <w:sz w:val="24"/>
          <w:szCs w:val="24"/>
          <w:color w:val="auto"/>
        </w:rPr>
      </w:pPr>
    </w:p>
    <w:p>
      <w:pPr>
        <w:jc w:val="both"/>
        <w:ind w:right="20"/>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07" w:lineRule="exact"/>
        <w:rPr>
          <w:sz w:val="24"/>
          <w:szCs w:val="24"/>
          <w:color w:val="auto"/>
        </w:rPr>
      </w:pPr>
    </w:p>
    <w:p>
      <w:pPr>
        <w:jc w:val="both"/>
        <w:spacing w:after="0" w:line="245" w:lineRule="auto"/>
        <w:rPr>
          <w:sz w:val="20"/>
          <w:szCs w:val="20"/>
          <w:color w:val="auto"/>
        </w:rPr>
      </w:pPr>
      <w:r>
        <w:rPr>
          <w:rFonts w:ascii="Arial" w:cs="Arial" w:eastAsia="Arial" w:hAnsi="Arial"/>
          <w:sz w:val="15"/>
          <w:szCs w:val="15"/>
          <w:color w:val="auto"/>
        </w:rPr>
        <w:t>The aggregate market value of the voting stock held by non-affiliates of the registrant was approximately $3.7 billion as of August 3, 2018, the last business day of the registrant’s most recently completed second fiscal quarter. For purposes of this calculation only, the registrant has excluded all shares held in the treasury or that may be deemed to be beneficially owned by executive officers and directors of the registrant. By doing so, the registrant does not concede that such persons are affiliates for purposes of the federal securities laws.</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The number of issued and outstanding shares of the registrant’s common stock, $.001 par value, as of March 27, 2019 was 63,192,389.</w:t>
      </w:r>
    </w:p>
    <w:p>
      <w:pPr>
        <w:spacing w:after="0" w:line="92" w:lineRule="exact"/>
        <w:rPr>
          <w:sz w:val="24"/>
          <w:szCs w:val="24"/>
          <w:color w:val="auto"/>
        </w:rPr>
      </w:pPr>
    </w:p>
    <w:p>
      <w:pPr>
        <w:ind w:left="28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81" w:lineRule="exact"/>
        <w:rPr>
          <w:sz w:val="24"/>
          <w:szCs w:val="24"/>
          <w:color w:val="auto"/>
        </w:rPr>
      </w:pPr>
    </w:p>
    <w:p>
      <w:pPr>
        <w:jc w:val="both"/>
        <w:spacing w:after="0" w:line="221" w:lineRule="auto"/>
        <w:rPr>
          <w:sz w:val="20"/>
          <w:szCs w:val="20"/>
          <w:color w:val="auto"/>
        </w:rPr>
      </w:pPr>
      <w:r>
        <w:rPr>
          <w:rFonts w:ascii="Arial" w:cs="Arial" w:eastAsia="Arial" w:hAnsi="Arial"/>
          <w:sz w:val="17"/>
          <w:szCs w:val="17"/>
          <w:color w:val="auto"/>
        </w:rPr>
        <w:t>Portions of the registrant’s definitive proxy statement for the 2019 Annual Meeting of Stockholders (the “Proxy Statement”), to be filed pursuant to Regulation 14A within 120 days after the end of the 2018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0718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474345</wp:posOffset>
            </wp:positionV>
            <wp:extent cx="607187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38" w:right="11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gridSpan w:val="8"/>
          </w:tcPr>
          <w:p>
            <w:pPr>
              <w:ind w:left="18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4"/>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140" w:type="dxa"/>
            <w:vAlign w:val="bottom"/>
            <w:gridSpan w:val="24"/>
          </w:tcPr>
          <w:p>
            <w:pPr>
              <w:ind w:left="140"/>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Item 1A.</w:t>
              </w:r>
            </w:hyperlink>
          </w:p>
        </w:tc>
        <w:tc>
          <w:tcPr>
            <w:tcW w:w="200" w:type="dxa"/>
            <w:vAlign w:val="bottom"/>
            <w:shd w:val="clear" w:color="auto" w:fill="CCEEFF"/>
          </w:tcPr>
          <w:p>
            <w:pPr>
              <w:spacing w:after="0"/>
              <w:rPr>
                <w:sz w:val="16"/>
                <w:szCs w:val="16"/>
                <w:color w:val="auto"/>
              </w:rPr>
            </w:pPr>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0" w:type="dxa"/>
            <w:vAlign w:val="bottom"/>
            <w:gridSpan w:val="5"/>
          </w:tcPr>
          <w:p>
            <w:pPr>
              <w:spacing w:after="0" w:line="189"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1B.</w:t>
              </w:r>
            </w:hyperlink>
          </w:p>
        </w:tc>
        <w:tc>
          <w:tcPr>
            <w:tcW w:w="200" w:type="dxa"/>
            <w:vAlign w:val="bottom"/>
          </w:tcPr>
          <w:p>
            <w:pPr>
              <w:spacing w:after="0"/>
              <w:rPr>
                <w:sz w:val="16"/>
                <w:szCs w:val="16"/>
                <w:color w:val="auto"/>
              </w:rPr>
            </w:pPr>
          </w:p>
        </w:tc>
        <w:tc>
          <w:tcPr>
            <w:tcW w:w="8140" w:type="dxa"/>
            <w:vAlign w:val="bottom"/>
            <w:gridSpan w:val="24"/>
          </w:tcPr>
          <w:p>
            <w:pPr>
              <w:ind w:left="140"/>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8140" w:type="dxa"/>
            <w:vAlign w:val="bottom"/>
            <w:gridSpan w:val="24"/>
          </w:tcPr>
          <w:p>
            <w:pPr>
              <w:ind w:left="140"/>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8140" w:type="dxa"/>
            <w:vAlign w:val="bottom"/>
            <w:gridSpan w:val="24"/>
          </w:tcPr>
          <w:p>
            <w:pPr>
              <w:ind w:left="140"/>
              <w:spacing w:after="0" w:line="189"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Market for Registrant’s Common Equity, Related Stockholder Matters and Issuer Purchases of Equity</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20" w:type="dxa"/>
            <w:vAlign w:val="bottom"/>
            <w:tcBorders>
              <w:top w:val="single" w:sz="8" w:color="0000EE"/>
            </w:tcBorders>
            <w:gridSpan w:val="22"/>
          </w:tcPr>
          <w:p>
            <w:pPr>
              <w:ind w:left="1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Securities</w:t>
              </w:r>
            </w:hyperlink>
          </w:p>
        </w:tc>
        <w:tc>
          <w:tcPr>
            <w:tcW w:w="680" w:type="dxa"/>
            <w:vAlign w:val="bottom"/>
          </w:tcPr>
          <w:p>
            <w:pPr>
              <w:spacing w:after="0"/>
              <w:rPr>
                <w:sz w:val="17"/>
                <w:szCs w:val="17"/>
                <w:color w:val="auto"/>
              </w:rPr>
            </w:pPr>
          </w:p>
        </w:tc>
        <w:tc>
          <w:tcPr>
            <w:tcW w:w="48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Selected Consolidated Financial Data</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Item 7.</w:t>
              </w:r>
            </w:hyperlink>
          </w:p>
        </w:tc>
        <w:tc>
          <w:tcPr>
            <w:tcW w:w="8140" w:type="dxa"/>
            <w:vAlign w:val="bottom"/>
            <w:gridSpan w:val="24"/>
          </w:tcPr>
          <w:p>
            <w:pPr>
              <w:ind w:left="140"/>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7A.</w:t>
              </w:r>
            </w:hyperlink>
          </w:p>
        </w:tc>
        <w:tc>
          <w:tcPr>
            <w:tcW w:w="200" w:type="dxa"/>
            <w:vAlign w:val="bottom"/>
            <w:shd w:val="clear" w:color="auto" w:fill="CCEEFF"/>
          </w:tcPr>
          <w:p>
            <w:pPr>
              <w:spacing w:after="0"/>
              <w:rPr>
                <w:sz w:val="16"/>
                <w:szCs w:val="16"/>
                <w:color w:val="auto"/>
              </w:rPr>
            </w:pPr>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0" w:type="dxa"/>
            <w:vAlign w:val="bottom"/>
            <w:gridSpan w:val="5"/>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200" w:type="dxa"/>
            <w:vAlign w:val="bottom"/>
          </w:tcPr>
          <w:p>
            <w:pPr>
              <w:spacing w:after="0"/>
              <w:rPr>
                <w:sz w:val="16"/>
                <w:szCs w:val="16"/>
                <w:color w:val="auto"/>
              </w:rPr>
            </w:pPr>
          </w:p>
        </w:tc>
        <w:tc>
          <w:tcPr>
            <w:tcW w:w="8140" w:type="dxa"/>
            <w:vAlign w:val="bottom"/>
            <w:gridSpan w:val="24"/>
          </w:tcPr>
          <w:p>
            <w:pPr>
              <w:ind w:left="14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Item 9A.</w:t>
              </w:r>
            </w:hyperlink>
          </w:p>
        </w:tc>
        <w:tc>
          <w:tcPr>
            <w:tcW w:w="8140" w:type="dxa"/>
            <w:vAlign w:val="bottom"/>
            <w:gridSpan w:val="24"/>
          </w:tcPr>
          <w:p>
            <w:pPr>
              <w:ind w:left="140"/>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Item 9B.</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Item 10.</w:t>
              </w:r>
            </w:hyperlink>
          </w:p>
        </w:tc>
        <w:tc>
          <w:tcPr>
            <w:tcW w:w="8140" w:type="dxa"/>
            <w:vAlign w:val="bottom"/>
            <w:gridSpan w:val="24"/>
          </w:tcPr>
          <w:p>
            <w:pPr>
              <w:ind w:left="14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shd w:val="clear" w:color="auto" w:fill="CCEEFF"/>
          </w:tcPr>
          <w:p>
            <w:pPr>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Item 11.</w:t>
              </w:r>
            </w:hyperlink>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6"/>
          </w:tcPr>
          <w:p>
            <w:pPr>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Item 12.</w:t>
              </w:r>
            </w:hyperlink>
          </w:p>
        </w:tc>
        <w:tc>
          <w:tcPr>
            <w:tcW w:w="8140" w:type="dxa"/>
            <w:vAlign w:val="bottom"/>
            <w:gridSpan w:val="24"/>
          </w:tcPr>
          <w:p>
            <w:pPr>
              <w:ind w:left="140"/>
              <w:spacing w:after="0" w:line="189"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Security Ownership of Certain Beneficial Owners and Management and Related Stockholder Matters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 w:type="dxa"/>
            <w:vAlign w:val="bottom"/>
            <w:gridSpan w:val="3"/>
            <w:shd w:val="clear" w:color="auto" w:fill="CCEEFF"/>
          </w:tcPr>
          <w:p>
            <w:pPr>
              <w:spacing w:after="0" w:line="189"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Item 13.</w:t>
              </w:r>
            </w:hyperlink>
          </w:p>
        </w:tc>
        <w:tc>
          <w:tcPr>
            <w:tcW w:w="240" w:type="dxa"/>
            <w:vAlign w:val="bottom"/>
            <w:gridSpan w:val="3"/>
            <w:shd w:val="clear" w:color="auto" w:fill="CCEEFF"/>
          </w:tcPr>
          <w:p>
            <w:pPr>
              <w:spacing w:after="0"/>
              <w:rPr>
                <w:sz w:val="16"/>
                <w:szCs w:val="16"/>
                <w:color w:val="auto"/>
              </w:rPr>
            </w:pPr>
          </w:p>
        </w:tc>
        <w:tc>
          <w:tcPr>
            <w:tcW w:w="8140" w:type="dxa"/>
            <w:vAlign w:val="bottom"/>
            <w:gridSpan w:val="24"/>
            <w:shd w:val="clear" w:color="auto" w:fill="CCEEFF"/>
          </w:tcPr>
          <w:p>
            <w:pPr>
              <w:ind w:left="14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4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 w:type="dxa"/>
            <w:vAlign w:val="bottom"/>
            <w:gridSpan w:val="3"/>
          </w:tcPr>
          <w:p>
            <w:pPr>
              <w:spacing w:after="0" w:line="189"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Item 14.</w:t>
              </w:r>
            </w:hyperlink>
          </w:p>
        </w:tc>
        <w:tc>
          <w:tcPr>
            <w:tcW w:w="240" w:type="dxa"/>
            <w:vAlign w:val="bottom"/>
            <w:gridSpan w:val="3"/>
          </w:tcPr>
          <w:p>
            <w:pPr>
              <w:spacing w:after="0"/>
              <w:rPr>
                <w:sz w:val="16"/>
                <w:szCs w:val="16"/>
                <w:color w:val="auto"/>
              </w:rPr>
            </w:pPr>
          </w:p>
        </w:tc>
        <w:tc>
          <w:tcPr>
            <w:tcW w:w="8140" w:type="dxa"/>
            <w:vAlign w:val="bottom"/>
            <w:gridSpan w:val="24"/>
          </w:tcPr>
          <w:p>
            <w:pPr>
              <w:ind w:left="14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gridSpan w:val="6"/>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 w:type="dxa"/>
            <w:vAlign w:val="bottom"/>
            <w:gridSpan w:val="3"/>
            <w:shd w:val="clear" w:color="auto" w:fill="CCEEFF"/>
          </w:tcPr>
          <w:p>
            <w:pPr>
              <w:spacing w:after="0" w:line="198"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Item 15.</w:t>
              </w:r>
            </w:hyperlink>
          </w:p>
        </w:tc>
        <w:tc>
          <w:tcPr>
            <w:tcW w:w="240" w:type="dxa"/>
            <w:vAlign w:val="bottom"/>
            <w:gridSpan w:val="3"/>
            <w:shd w:val="clear" w:color="auto" w:fill="CCEEFF"/>
          </w:tcPr>
          <w:p>
            <w:pPr>
              <w:spacing w:after="0"/>
              <w:rPr>
                <w:sz w:val="17"/>
                <w:szCs w:val="17"/>
                <w:color w:val="auto"/>
              </w:rPr>
            </w:pPr>
          </w:p>
        </w:tc>
        <w:tc>
          <w:tcPr>
            <w:tcW w:w="8140" w:type="dxa"/>
            <w:vAlign w:val="bottom"/>
            <w:gridSpan w:val="24"/>
            <w:shd w:val="clear" w:color="auto" w:fill="CCEEFF"/>
          </w:tcPr>
          <w:p>
            <w:pPr>
              <w:ind w:left="140"/>
              <w:spacing w:after="0" w:line="198"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480" w:type="dxa"/>
            <w:vAlign w:val="bottom"/>
            <w:gridSpan w:val="3"/>
            <w:shd w:val="clear" w:color="auto" w:fill="CCEEFF"/>
          </w:tcPr>
          <w:p>
            <w:pPr>
              <w:jc w:val="right"/>
              <w:spacing w:after="0" w:line="198"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 w:type="dxa"/>
            <w:vAlign w:val="bottom"/>
            <w:gridSpan w:val="3"/>
          </w:tcPr>
          <w:p>
            <w:pPr>
              <w:spacing w:after="0" w:line="189"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Item 16.</w:t>
              </w:r>
            </w:hyperlink>
          </w:p>
        </w:tc>
        <w:tc>
          <w:tcPr>
            <w:tcW w:w="240" w:type="dxa"/>
            <w:vAlign w:val="bottom"/>
            <w:gridSpan w:val="3"/>
          </w:tcPr>
          <w:p>
            <w:pPr>
              <w:spacing w:after="0"/>
              <w:rPr>
                <w:sz w:val="16"/>
                <w:szCs w:val="16"/>
                <w:color w:val="auto"/>
              </w:rPr>
            </w:pPr>
          </w:p>
        </w:tc>
        <w:tc>
          <w:tcPr>
            <w:tcW w:w="8140" w:type="dxa"/>
            <w:vAlign w:val="bottom"/>
            <w:gridSpan w:val="24"/>
          </w:tcPr>
          <w:p>
            <w:pPr>
              <w:ind w:left="14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Form 10-K Summary</w:t>
              </w:r>
            </w:hyperlink>
          </w:p>
        </w:tc>
        <w:tc>
          <w:tcPr>
            <w:tcW w:w="480" w:type="dxa"/>
            <w:vAlign w:val="bottom"/>
            <w:gridSpan w:val="3"/>
          </w:tcPr>
          <w:p>
            <w:pPr>
              <w:jc w:val="right"/>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2" w:name="page3"/>
    <w:bookmarkEnd w:id="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Examples of forward-looking statements include, but are not limited to, statements we make regarding the outlook for our future business and financial performance, such as those contained in “Item 7, Management’s Discussion and Analysis of Financial Condition and Results of Operations,” included elsewhere in this Annual Report on Form 10-K.</w:t>
      </w:r>
    </w:p>
    <w:p>
      <w:pPr>
        <w:spacing w:after="0" w:line="81"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tax legislation, and the following:</w:t>
      </w:r>
    </w:p>
    <w:p>
      <w:pPr>
        <w:spacing w:after="0" w:line="85" w:lineRule="exact"/>
        <w:rPr>
          <w:sz w:val="20"/>
          <w:szCs w:val="20"/>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adequately procure and manage our inventory or anticipate consumer demand;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confidence and spending;</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intense competition;</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open new profitable stores, or successfully enter new markets, on a timely basis or at all;</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hire and retain key personnel and other qualified personnel;</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favorable lease terms for our properties;</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timely acquire, develop, and open, the loss of, or disruption or interruption in the operations of, our centralized distribution centers;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comparable store sales and results of operations, including on a quarterly basis;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lack of operations in the growing online retail marketplace;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and the outcomes thereof;</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implement our marketing, advertising and promotional efforts;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seasonal nature of our business;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timely and effective deployment and protection of computer networks and other electronic systems;</w:t>
      </w:r>
    </w:p>
    <w:p>
      <w:pPr>
        <w:spacing w:after="0" w:line="140" w:lineRule="exact"/>
        <w:rPr>
          <w:rFonts w:ascii="Arial" w:cs="Arial" w:eastAsia="Arial" w:hAnsi="Arial"/>
          <w:sz w:val="16"/>
          <w:szCs w:val="16"/>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associated with doing business with international manufacturers;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regulations, procedures and requirements;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indebtedness and to comply with our financial covenants.</w:t>
      </w:r>
    </w:p>
    <w:p>
      <w:pPr>
        <w:spacing w:after="0" w:line="117" w:lineRule="exact"/>
        <w:rPr>
          <w:sz w:val="20"/>
          <w:szCs w:val="20"/>
          <w:color w:val="auto"/>
        </w:rPr>
      </w:pPr>
    </w:p>
    <w:p>
      <w:pPr>
        <w:jc w:val="both"/>
        <w:ind w:left="7"/>
        <w:spacing w:after="0" w:line="291" w:lineRule="auto"/>
        <w:rPr>
          <w:sz w:val="20"/>
          <w:szCs w:val="20"/>
          <w:color w:val="auto"/>
        </w:rPr>
      </w:pPr>
      <w:r>
        <w:rPr>
          <w:rFonts w:ascii="Arial" w:cs="Arial" w:eastAsia="Arial" w:hAnsi="Arial"/>
          <w:sz w:val="16"/>
          <w:szCs w:val="16"/>
          <w:color w:val="auto"/>
        </w:rPr>
        <w:t>See “Item 1A, Risk Factors”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 filings.</w:t>
      </w:r>
    </w:p>
    <w:p>
      <w:pPr>
        <w:spacing w:after="0" w:line="59" w:lineRule="exact"/>
        <w:rPr>
          <w:sz w:val="20"/>
          <w:szCs w:val="20"/>
          <w:color w:val="auto"/>
        </w:rPr>
      </w:pPr>
    </w:p>
    <w:p>
      <w:pPr>
        <w:jc w:val="both"/>
        <w:ind w:left="7"/>
        <w:spacing w:after="0" w:line="276" w:lineRule="auto"/>
        <w:rPr>
          <w:sz w:val="20"/>
          <w:szCs w:val="20"/>
          <w:color w:val="auto"/>
        </w:rPr>
      </w:pPr>
      <w:r>
        <w:rPr>
          <w:rFonts w:ascii="Arial" w:cs="Arial" w:eastAsia="Arial" w:hAnsi="Arial"/>
          <w:sz w:val="17"/>
          <w:szCs w:val="17"/>
          <w:color w:val="auto"/>
        </w:rPr>
        <w:t>Ollie’s Bargain Outlet Holdings, Inc. operates on a fiscal year, consisting of the 52- or 53-week period ending on the Saturday nearer January 31 of the following calendar year. References to “2018,” “2017,” and “2016” represent the 2018 fiscal year ended February 2, 2019, the 2017 fiscal year ended February 3, 2018 and the 2016 fiscal year ended January 28, 2017, respectively. 2018 consisted of a 52-week period, 2017 consisted of a 53-week period, and 2016 consisted of a 52-week period. References to “2019” refer to the fiscal year ending February 1, 2020, which consists of a 52-week period.</w:t>
      </w:r>
    </w:p>
    <w:p>
      <w:pPr>
        <w:spacing w:after="0" w:line="64"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In this report, the terms “Ollie’s,” the “Company,” “we,” “us” or “our” mean Ollie’s Bargain Outlet Holdings, Inc. and its wholly-owned subsidiaries,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 w:name="page4"/>
    <w:bookmarkEnd w:id="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7"/>
        <w:spacing w:after="0"/>
        <w:tabs>
          <w:tab w:leader="none" w:pos="866"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Ollie’s is a highly differentiated and fast-growing, extreme value retailer of brand name merchandise at drastically reduced prices. Known for our assortment of “Good Stuff Cheap,” we offer customers a broad selection of brand name products, including food, housewares, books and stationery, bed and bath, floor coverings, electronics and toys.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w:t>
      </w:r>
    </w:p>
    <w:p>
      <w:pPr>
        <w:spacing w:after="0" w:line="85"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Mark Butler, our Chairman, President and Chief Executive Officer, co-founded Ollie’s in 1982, based on the idea that “everyone in America loves a bargain.” Since opening our first store in Mechanicsburg, PA, we have expanded throughout the eastern half of the United States. From the time Mr. Butler assumed his current position as President and Chief Executive Officer in 2003, we have grown from operating 28 stores in three states to 303 stores in 23 states as of February 2, 2019. Our no-frills, “semi-lovely” warehouse style stores average approximately 32,500 square feet and generate consistently strong financial returns across all vintages, geographic regions, population densities, demographic groups, real estate formats and regardless of any co-tenant. Our business model has resulted in positive financial performance during strong and weak economic cycles. We believe there is opportunity for more than 950 Ollie’s locations across the United States based on internal estimates and third party research conducted by Jeff Green Partners, a retail real estate feasibility consultant that provides market analysis and strategic planning and consulting services.</w:t>
      </w:r>
    </w:p>
    <w:p>
      <w:pPr>
        <w:spacing w:after="0" w:line="70"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Our constantly changing merchandise assortment is procured by a highly experienced merchant team, who leverage deep, long-standing relationships with hundreds of major manufacturers, wholesalers, distributors, brokers and retailers. These relationships enable our merchant team to find and select only the best buys from a broad range of brand name and closeout product offerings and to pass drastically reduced prices along to our customers. As we grow, we believe our increased scale has provided and will continue to provide us with even greater access to brand name products as many large manufacturers favor large buyers capable of acquiring an entire deal. Our merchant team augments these deals with directly sourced products, including Ollie’s own private label brands and other products exclusive to Ollie’s.</w:t>
      </w:r>
    </w:p>
    <w:p>
      <w:pPr>
        <w:spacing w:after="0" w:line="81" w:lineRule="exact"/>
        <w:rPr>
          <w:sz w:val="20"/>
          <w:szCs w:val="20"/>
          <w:color w:val="auto"/>
        </w:rPr>
      </w:pPr>
    </w:p>
    <w:p>
      <w:pPr>
        <w:ind w:left="7"/>
        <w:spacing w:after="0"/>
        <w:rPr>
          <w:sz w:val="20"/>
          <w:szCs w:val="20"/>
          <w:color w:val="auto"/>
        </w:rPr>
      </w:pPr>
      <w:r>
        <w:rPr>
          <w:rFonts w:ascii="Arial" w:cs="Arial" w:eastAsia="Arial" w:hAnsi="Arial"/>
          <w:sz w:val="16"/>
          <w:szCs w:val="16"/>
          <w:color w:val="auto"/>
        </w:rPr>
        <w:t>Our business model has produced consistently strong growth and financial performance. From 2014 through 2018 (except as noted):</w:t>
      </w:r>
    </w:p>
    <w:p>
      <w:pPr>
        <w:spacing w:after="0" w:line="140" w:lineRule="exact"/>
        <w:rPr>
          <w:sz w:val="20"/>
          <w:szCs w:val="20"/>
          <w:color w:val="auto"/>
        </w:rPr>
      </w:pPr>
    </w:p>
    <w:p>
      <w:pPr>
        <w:ind w:left="347" w:hanging="347"/>
        <w:spacing w:after="0" w:line="277" w:lineRule="auto"/>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store base expanded from 176 stores to 303 stores, a compound annual growth rate, or CAGR, of 14.5% and we entered seven new states;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grew at an average rate of 4.1% per year;</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increased from $638.0 million to $1.241 billion, a CAGR of 18.1%;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from $26.9 million to $135.0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83185</wp:posOffset>
            </wp:positionV>
            <wp:extent cx="5042535" cy="1766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 following strengths differentiate us from our competitors and serve as the foundation for our current and future growth:</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“Good Stuff Cheap”—Ever changing product assortment at drastically reduced prices. </w:t>
      </w:r>
      <w:r>
        <w:rPr>
          <w:rFonts w:ascii="Arial" w:cs="Arial" w:eastAsia="Arial" w:hAnsi="Arial"/>
          <w:sz w:val="16"/>
          <w:szCs w:val="16"/>
          <w:color w:val="auto"/>
        </w:rPr>
        <w:t>Our stores offer something for everyone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a diverse range of merchandise categories at prices up to 70% below department and fancy stores and up to 20-50% below mass market retailers. Our product assortment frequently changes based on the wide variety of deals available from the hundreds of brand name suppliers we have relationships with. We augment these opportunistic deals on brand name merchandise with directly-sourced unbranded products or those under our own private label brands such as Sarasota Breeze, Steelton Tools, American Way and Commonwealth Classics and exclusively licensed recognizable brands and celebrity names such as Magnavox, Marcus Samuelsson Signature Cookware, Josh Capon, Country Living, Popular Mechanics and Wells Lamont. Brand name and closeout merchandise represented approximately 70% and non-closeout goods and private label products collectively represented approximately 30% of our 2018 merchandise purchases. Our treasure hunt shopping environment and slogan “when it’s gone, it’s gone” help to instill a “shop now” sense of urgency that encourages frequent customer visits.</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Highly experienced and disciplined merchant team. </w:t>
      </w:r>
      <w:r>
        <w:rPr>
          <w:rFonts w:ascii="Arial" w:cs="Arial" w:eastAsia="Arial" w:hAnsi="Arial"/>
          <w:sz w:val="17"/>
          <w:szCs w:val="17"/>
          <w:color w:val="auto"/>
        </w:rPr>
        <w:t>Our 16-member merchant team maintains strong, long-standing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diverse group of suppliers, allowing us to procure branded merchandise at compelling values for our customers. This team is led by five senior merchants, including Mark Butler, and has over 100 combined years of experience at Ollie’s. We have been doing business with our top 15 suppliers for an average of 13 years, and no supplier accounted for more than 5% of our purchases during 2018. Our well-established relationships with our suppliers, together with our scale, buying power, financial credibility and responsiveness, often makes Ollie’s the first call for available deals. Our direct relationships with our suppliers have increased as we have grown and we continuously strive to broaden our supplier network. These factors provide us with increased access to goods, which enables us to be more selective in our deal-making and, we believe, helps us provide compelling value and assortment of goods to our customers and fuels our continued profitable growth.</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Distinctive brand and engaging shopping experience. </w:t>
      </w:r>
      <w:r>
        <w:rPr>
          <w:rFonts w:ascii="Arial" w:cs="Arial" w:eastAsia="Arial" w:hAnsi="Arial"/>
          <w:sz w:val="16"/>
          <w:szCs w:val="16"/>
          <w:color w:val="auto"/>
        </w:rPr>
        <w:t>Our distinctive and often self-deprecating humor and highly recognizable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caricatures are used in our stores, flyers, mailers, website and email campaigns. We attempt to make our customers laugh as we poke fun at ourselves and current events. We believe this approach creates a strong connection to our brand and sets us apart from other, more traditional retailers. Our “semi-lovely” stores feature these same brand attributes together with witty signage in a warehouse format that creates a fun, relaxed and engaging shopping environment. We believe that by disarming our customers by getting them to giggle a bit, they are more likely to look at and trust our products for what they are—extremely great bargains. We offer a “30-day no hard time guarantee” as a means to overcome any skepticism associated with our cheap prices and to build trust and loyalty, because if our customers are not happy, we are not happy. We welcome customers to bring back their merchandise within that timeframe for a “no hard time” full refund. We also make it easy for our customers to browse our stores by displaying our products on easily accessible fixtures and by keeping the stores clean and well-lit. We believe our humorous brand image, compelling values and welcoming stores resonate with our customers and define Ollie’s as a unique and comfortable destination shopping location.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Extremely loyal “Ollie’s Army” customer base. </w:t>
      </w:r>
      <w:r>
        <w:rPr>
          <w:rFonts w:ascii="Arial" w:cs="Arial" w:eastAsia="Arial" w:hAnsi="Arial"/>
          <w:sz w:val="18"/>
          <w:szCs w:val="18"/>
          <w:color w:val="auto"/>
        </w:rPr>
        <w:t>Our best customers are members of our Ollie’s Army customer loyalty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stands at 9.0 million members as of February 2, 2019. For 2018, approximately 70% of our sales were from Ollie’s Army members, and we grew our base of loyal members by 8.7% in 2018. Ollie’s Army members spend approximately 40% more per shopping trip at Ollie’s than non-members. We identify our target customer as “anyone between the ages of 25-70 with a wallet or a purse” seeking a great bargain.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Strong and consistent store model built for growth. </w:t>
      </w:r>
      <w:r>
        <w:rPr>
          <w:rFonts w:ascii="Arial" w:cs="Arial" w:eastAsia="Arial" w:hAnsi="Arial"/>
          <w:sz w:val="17"/>
          <w:szCs w:val="17"/>
          <w:color w:val="auto"/>
        </w:rPr>
        <w:t>We employ a proven new store model that generates strong cash flow,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financial results and attractive returns on investment regardless of the economic environment. Our highly flexible real estate approach has proven successful across all vintages, geographic regions, population densities, demographic groups, real estate formats and regardless of any co-tenant. New stores opened from 2013 to 2017 have generated an average of $4.2 million in net sales in their first 12 months of operations and produced an average payback period of approximately two years. We believe that our consistent store performance, strategically-located distribution centers and disciplined approach to site selection support the portability and predictability of our new unit growth strategy.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Highly experienced and passionate founder-led management team. </w:t>
      </w:r>
      <w:r>
        <w:rPr>
          <w:rFonts w:ascii="Arial" w:cs="Arial" w:eastAsia="Arial" w:hAnsi="Arial"/>
          <w:sz w:val="18"/>
          <w:szCs w:val="18"/>
          <w:color w:val="auto"/>
        </w:rPr>
        <w:t>Our leadership team, directed by our co-founder,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Executive Officer, Mark Butler, has guided our organization through its expansion and positioned us for continued growth. Mark Butler has assembled a talented and dedicated team of executives with an average of 26 years of retail experience, including an average of 12 years of experience at Ollie’s. Our senior executives possess extensive experience across a broad range of disciplines, including merchandising, marketing, real estate, finance, store operations, supply chain management and information technology. We believe by encouraging equity ownership and fostering a strong team culture, we have aligned the interests of our executives with those of our stockholders. We believe these factors result in a cohesive team focused on sustainable long-term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continue to drive growth in sales and profitability by executing on the following strategies: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our compelling value proposition and the success of our stores across a broad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population densities and demographic groups create a significant opportunity to profitably increase our store count. Our internal estimates and third party research conducted by Jeff Green Partners indicate the potential for more than 950 national locations. Our new store real estate model is flexible and focuses predominately on second generation sites ranging in size from 25,000 to 35,000 square feet. We believe there is an ample supply of suitable low-cost, second generation real estate to allow us to infill within our existing markets as well as to expand into new, contiguous geographies. This approach leverages our distribution infrastructure, field management team, store management, marketing investments and brand awareness. We expect our new store openings to be the primary driver of our continued, consistent growth in sales and profitability.</w:t>
      </w:r>
    </w:p>
    <w:p>
      <w:pPr>
        <w:spacing w:after="0" w:line="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Increase our offerings of great bargains. </w:t>
      </w:r>
      <w:r>
        <w:rPr>
          <w:rFonts w:ascii="Arial" w:cs="Arial" w:eastAsia="Arial" w:hAnsi="Arial"/>
          <w:sz w:val="16"/>
          <w:szCs w:val="16"/>
          <w:color w:val="auto"/>
        </w:rPr>
        <w:t>We will continue to enhance our supplier relationships and develop additional sources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 brand name and closeout products for our customers. Our strong sourcing relationships with leading major manufacturers and our purchasing scale provide us with significant opportunities to expand our ever changing assortment of brand name and closeout merchandise at extreme values. We plan to further invest in our merchandising team in order to expand and enhance our sourcing relationships and product categories, which we expect will drive shopping frequency and increase customer spending.</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Leverage and expand Ollie’s Army. </w:t>
      </w:r>
      <w:r>
        <w:rPr>
          <w:rFonts w:ascii="Arial" w:cs="Arial" w:eastAsia="Arial" w:hAnsi="Arial"/>
          <w:sz w:val="16"/>
          <w:szCs w:val="16"/>
          <w:color w:val="auto"/>
        </w:rPr>
        <w:t>We intend to recruit new Ollie’s Army members and increase their frequency of store visits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spending by enhancing our distinctive, fun and recognizable marketing programs, building brand awareness, further rewarding member loyalty and utilizing more sophisticated data-driven targeted marketing. We believe these strategies, coupled with a larger store base, will enable us to increase the amount of sales driven by loyal Ollie’s Army customers seeking the next great deal.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one reporting segment. See Note 13, “Segment Reporting,” to our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merchandise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offer a highly differentiated, constantly evolving assortment of brand name merchandise across a broad range of categories at drastically reduced prices. Our ever changing assortment of “Good Stuff Cheap” includes brand name and closeout merchandise from leading manufacturers. We augment our brand name merchandise with opportunistic purchases of unbranded goods and our own domestic and direct-import private label brands in underpenetrated categories to further enhance the assortment of products that we offer. Brand name and closeout merchandise represented approximately 70% and non-closeout goods and private label products collectively represented approximately 30% of our 2018 merchandise purchases. We believe our compelling value proposition and the unique nature of our merchandise offerings have fostered our customer appeal across a variety of demographics and socioeconomic profiles.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warehouse format stores feature a broad number of categories including food, housewares, books and stationery, bed and bath, floor coverings, electronics and toys as well as other products including hardware, personal health care, candy, clothing, sporting goods, pet and lawn and garden products. We focus on buying cheap to sell cheap and source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312" w:lineRule="auto"/>
        <w:rPr>
          <w:sz w:val="20"/>
          <w:szCs w:val="20"/>
          <w:color w:val="auto"/>
        </w:rPr>
      </w:pPr>
      <w:r>
        <w:rPr>
          <w:rFonts w:ascii="Arial" w:cs="Arial" w:eastAsia="Arial" w:hAnsi="Arial"/>
          <w:sz w:val="16"/>
          <w:szCs w:val="16"/>
          <w:color w:val="auto"/>
        </w:rPr>
        <w:t>products as unique buying opportunities present themselves. Our merchandise mix is designed to combine unique and brand name bargains at extremely attractive price points. This approach results in frequently changing product assortments and localized offerings which encourage shopper frequency and a “shop now” sense of urgency as customers hunt to discover the next deal.</w:t>
      </w:r>
    </w:p>
    <w:p>
      <w:pPr>
        <w:spacing w:after="0" w:line="39"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The common element of our dynamic merchandise selection is the consistent delivery of great deals to our customers, with products offered at prices up to 70% below department stores and fancy stores and up to 20-50% below mass market retailers. Our product price tags allow customers to compare our competitor’s price against Ollie’s price to further highlight the savings they can realize by shopping at our stores.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Product mix</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Examples of our product offerings include:</w:t>
      </w:r>
    </w:p>
    <w:p>
      <w:pPr>
        <w:spacing w:after="0" w:line="117" w:lineRule="exact"/>
        <w:rPr>
          <w:sz w:val="20"/>
          <w:szCs w:val="20"/>
          <w:color w:val="auto"/>
        </w:rPr>
      </w:pPr>
    </w:p>
    <w:p>
      <w:pPr>
        <w:ind w:left="347" w:right="20" w:hanging="347"/>
        <w:spacing w:after="0" w:line="277"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Housewares: </w:t>
      </w:r>
      <w:r>
        <w:rPr>
          <w:rFonts w:ascii="Arial" w:cs="Arial" w:eastAsia="Arial" w:hAnsi="Arial"/>
          <w:sz w:val="18"/>
          <w:szCs w:val="18"/>
          <w:color w:val="auto"/>
        </w:rPr>
        <w:t>cooking utensils, dishes, appliances, plastic containers, cutlery, storage and garbage bags, detergents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cleaning supplies, cookware and glassware, fans and space heaters, candles, frames and giftware;</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Food: </w:t>
      </w:r>
      <w:r>
        <w:rPr>
          <w:rFonts w:ascii="Arial" w:cs="Arial" w:eastAsia="Arial" w:hAnsi="Arial"/>
          <w:sz w:val="18"/>
          <w:szCs w:val="18"/>
          <w:color w:val="auto"/>
        </w:rPr>
        <w:t>packaged food including coffee, bottled non-carbonated beverages, salty snacks, condiments, sauces, spices, dry pasta,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canned goods, cereal and cookies;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Bed and bath:  </w:t>
      </w:r>
      <w:r>
        <w:rPr>
          <w:rFonts w:ascii="Arial" w:cs="Arial" w:eastAsia="Arial" w:hAnsi="Arial"/>
          <w:sz w:val="18"/>
          <w:szCs w:val="18"/>
          <w:color w:val="auto"/>
        </w:rPr>
        <w:t>household goods including bedding, towels, curtains and associated hardware;</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Books and stationery: </w:t>
      </w:r>
      <w:r>
        <w:rPr>
          <w:rFonts w:ascii="Arial" w:cs="Arial" w:eastAsia="Arial" w:hAnsi="Arial"/>
          <w:sz w:val="18"/>
          <w:szCs w:val="18"/>
          <w:color w:val="auto"/>
        </w:rPr>
        <w:t>novels, children’s, how-to, business, cooking, inspirational and coffee table books along with DVDs,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greeting cards and various office supplies and party goods;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Floor coverings:  </w:t>
      </w:r>
      <w:r>
        <w:rPr>
          <w:rFonts w:ascii="Arial" w:cs="Arial" w:eastAsia="Arial" w:hAnsi="Arial"/>
          <w:sz w:val="18"/>
          <w:szCs w:val="18"/>
          <w:color w:val="auto"/>
        </w:rPr>
        <w:t>laminate flooring, commercial and residential carpeting, area rugs and floor mats;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Electronics:  </w:t>
      </w:r>
      <w:r>
        <w:rPr>
          <w:rFonts w:ascii="Arial" w:cs="Arial" w:eastAsia="Arial" w:hAnsi="Arial"/>
          <w:sz w:val="18"/>
          <w:szCs w:val="18"/>
          <w:color w:val="auto"/>
        </w:rPr>
        <w:t>air conditioners, home electronics, cellular accessories and as seen on television;</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Toys:  </w:t>
      </w:r>
      <w:r>
        <w:rPr>
          <w:rFonts w:ascii="Arial" w:cs="Arial" w:eastAsia="Arial" w:hAnsi="Arial"/>
          <w:sz w:val="18"/>
          <w:szCs w:val="18"/>
          <w:color w:val="auto"/>
        </w:rPr>
        <w:t>dolls, action figures, puzzles, educational toys, board games and other related items;</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 and beauty aids: </w:t>
      </w:r>
      <w:r>
        <w:rPr>
          <w:rFonts w:ascii="Arial" w:cs="Arial" w:eastAsia="Arial" w:hAnsi="Arial"/>
          <w:sz w:val="18"/>
          <w:szCs w:val="18"/>
          <w:color w:val="auto"/>
        </w:rPr>
        <w:t>personal care, hair care, oral care, health and wellness, over-the-counter medicine, first aid, sun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personal grooming; and</w:t>
      </w:r>
    </w:p>
    <w:p>
      <w:pPr>
        <w:spacing w:after="0" w:line="62"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hardware, candy, clothing, sporting goods, pet products, luggage, automotive, seasonal, furniture, summer furniture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lawn &amp; garden.</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chart shows the breakdown of our 2018 net sales by merchandise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83185</wp:posOffset>
            </wp:positionV>
            <wp:extent cx="3704590" cy="2864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categories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maintain consistent average margins across our primary product categories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name and closeout merchandise (approximately 70% of merchandise purchases in 2018)</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focus is to provide huge savings to our customers primarily through brand name products across a broad range of merchandise. Our experienced merchant team purchases deeply discounted, branded or closeout merchandise primarily from manufacturers, retailers, distributors and brokers. This merchandise includes overstocks, discontinued merchandise, package changes, cancelled orders, excess inventory and buybacks from retailers and major manufacturers.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Non-closeout goods/private label (approximately 30% of merchandise purchases in 2018)</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augment the breadth of our brand name merchandise with non-closeout and private label merchandise. In categories where the consumer is not as brand conscious, such as food, home textiles, and furniture, or when we may not be offering a current brand name merchandise deal, we will buy deeply discounted unbranded merchandise. These extreme value offerings are mixed in the stores with our brand name merchandise. We also have a variety of domestic and direct-import private label merchandise and exclusive products sold under brands such as Sarasota Breeze, Steelton Tools, American Way and Commonwealth Classic. These high quality products are developed in key categories such as housewares, and are designed to create brand-like excitement and complement our brand name merchandise. We also have licenses for private label products that use recognizable celebrity names like Marcus Samuelsson and Josh Capon, or brand names like Country Living, Magnavox, Popular Mechanics and Wells Lamont. We routinely evaluate the quality and condition of these private label goods to ensure that we are delivering our customer a high quality product at a great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procurement and distribution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disciplined buying strategy and strict adherence to purchasing margins support our merchandising strategy of buying cheap to sell cheap.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Merchandising team</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16-member merchant team maintains strong, long-standing relationships with a diverse group of suppliers, allowing us to procure branded merchandise at compelling values for our customers. This team is led by five senior merchants, including Mark Butler, and has over 100 combined years of experience at Ollie’s. Our merchants specialize by department in order to build category expertise, in-depth knowledge and sourcing relationships. We believe our buying approach, coupled with long-standing and newly formed relationships, enable us to find the best deals from major manufacturers and pass drastically reduced prices along to our customers. We plan to further invest in and grow our merchandising team in order to expand and enhance our sourcing relationships and product categories, which we expect will drive shopping frequency and increase customer spending.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procurement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our strong sourcing capabilities are the result of our tenured merchant team’s ability to leverage deep, long-standing relationships with hundreds of manufacturers, wholesalers, brokers, retailers and other suppliers. Our merchants maintain direct relationships with brand manufacturers, regularly attend major tradeshows and travel the world to source extreme value offerings across a broad assortment of product categories. We are an ideal partner to major manufacturers because our merchants are experienced and empowered to make quick decisions. Each opportunity is unique and our merchants negotiate directly with the supplier to lock in a particular deal. Our ability to select the most attractive opportunistic purchases from a growing number of available deals enables us to provide a wide assortment of goods to our customers at great bargain prices.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from over 1,100 suppliers, and no supplier accounted for more than 5% of our purchases during 2018. Our dedication to building strong relationships with suppliers is evidenced by a 13-year average relationship with our top 15 suppliers. As we continue to grow, we believe our increased scale will provide us with even greater access to brand name products since many major manufacturers seek a single buyer to acquire the entire deal.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logistics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significant investments in our distribution network and personnel to support our store growth plan. Currently, we distribute over 95% of our merchandise from our distribution centers in York, PA (603,000 square feet) and Commerce, GA (962,280 square feet).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acquired a 58-acre parcel of land in Lancaster, TX for the construction of our third distribution center. Construction of the planned 615,000 square foot facility has commenced and the distribution center is expected to be operational by the first quarter of 2020. In order to minimize the amount of time our retail stores devote to inventory management, our merchandise is seeded with price tickets and labeled with a bar code for shipping.</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stores generally receive shipments from our distribution centers two to three times a week, depending on the season and specific store size and sales volume. We utilize independent third party freight carriers and, on average, load and ship between 85 and 95 trucks per day.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our distribution capabilities, once our Lancaster, TX facility is fully operational, can support a range of 500 to 600 stores over the next several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 2019, we operated 303 stores, averaging approximately 32,500 square feet, across 23 contiguous states in the eastern half of the United States. Our highly flexible real estate approach has proven successful across all vintages, geographic regions, population densities, demographic groups, real estate formats and regardless of any co-tenant. Our business model has resulted in positive financial performance during strong and weak economic cycles. We have successfully opened stores in seven new states since 2014, highlighting the portability of our new store model. The following map shows the number of stores in each of the states in which we operated as of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62865</wp:posOffset>
            </wp:positionV>
            <wp:extent cx="5154295" cy="265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429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design and layout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warehouse format stores incorporate the same philosophy: no-frills, bright, “semi-lovely” stores and a fun, treasure hunt shopping experience. We present our stores as “semi-lovely” to differentiate our stores from other traditional retailers, and to minimize operating and build-out costs. Our stores also welcome our customers with vibrant and colorful caricatures together with witty signage. We attempt to make our customers laugh as we poke fun at ourselves and current events. We believe that by disarming our customers by getting them to giggle a bit, they are able to look at and trust our products for what they are—extremely great bargains.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 store layout and merchandising strategy help to encourage a “shop now” sense of urgency and increase frequency of customer visits as customers never know what they might come across in our stores. We make it easy for our customers to browse our stores by displaying our frequently changing assortment of products on rolling tables, pallets and other display fixtures. Our store team leaders are responsible for maintaining our treasure hunt shopping experience, keeping the stores clean and well-lit and ensuring our customers are engaged. We believe our humorous brand image, compelling values and welcoming stores resonate with our customers and define Ollie’s as a unique and comfortable destination shopping location.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opportunities and site selection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can profitably expand our store count on a national scale to more than 950 locations based on internal estimates and third party research conducted by Jeff Green Partners. Our disciplined real estate strategy focuses on infilling existing geographies as well as expanding into contiguous markets in order to leverage our distribution infrastructure, field management team, store management, marketing investments and brand awareness.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pipeline of real estate sites that have been approved by our real estate committee. Our recent store growth is summarized in the following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r>
      <w:tr>
        <w:trPr>
          <w:trHeight w:val="243"/>
        </w:trPr>
        <w:tc>
          <w:tcPr>
            <w:tcW w:w="20" w:type="dxa"/>
            <w:vAlign w:val="bottom"/>
          </w:tcPr>
          <w:p>
            <w:pPr>
              <w:spacing w:after="0"/>
              <w:rPr>
                <w:sz w:val="21"/>
                <w:szCs w:val="21"/>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Stores open at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Stores opened</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20" w:type="dxa"/>
            <w:vAlign w:val="bottom"/>
          </w:tcPr>
          <w:p>
            <w:pPr>
              <w:spacing w:after="0"/>
              <w:rPr>
                <w:sz w:val="20"/>
                <w:szCs w:val="20"/>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Stores closed</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Stores open at end of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1"/>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 rigorous site selection and real estate approval process in order to leverage our infrastructure, marketing investments and brand awareness. Members of our real estate team spend considerable time evaluating prospective sites before bringing a new lease proposal to our real estate committee, which is comprised of senior management and executive officers. Our flexible store layout allows us to quickly take over a variety of low-cost, second generation sites, including former big box retail and grocery stores.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there is an ample supply of suitable low-cost, second generation real estate allowing us to infill within our existing markets as well as to expand into new, contiguous geographies. By focusing on key characteristics such as proximity to the nearest Ollie’s store, ability to leverage distribution infrastructure, visibility, traffic counts, population densities of at least 50,000 people within ten miles and low rent per square foot, we have developed a new store real estate model that has consistently delivered attractive returns on invested capital.</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strong unit growth is supported by our predictable and compelling new store model. We target a store size between 25,000 to 35,000 square feet and an average initial cash investment of approximately $1.0 million, which includes store fixtures and equipment, store-level and distribution center inventory (net of payables) and pre-opening expenses. With our relatively low investment costs and strong new store opening performance, we target new store sales of approximately $3.9 million. New stores opened from 2013 to 2017 have generated an average of $4.2 million in net sales in their first full year of operations and produced an average payback period of approximately two years. We believe that our consistent store performance, corporate infrastructure, including our distribution centers, and disciplined approach to site selection support the portability and predictability of our new unit growth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Store-level management and training</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Senior Vice President of Store Operations oversees all store activities. Our stores are grouped into three regions, divided generally along geographic lines. We employ three regional directors, who have responsibility for the day-to-day operations of the stores in their region. Reporting to the regional directors are 30 district team leaders who each manage a group of stores in their markets. At the store level, the leadership team consists of a store team leader (manager), co-team leader (first level assistant manager) and assistant team leader (second level assistant manager). Supervisors oversee specific areas within each store.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store team leader is responsible for the daily operations of the store, including the processing of merchandise to the sales floor and the presentation of goods throughout the store. Store team leaders are trained to maintain a clean and appealing store environment for our customers. Store team leaders and co-team leaders are also responsible for the hiring, training and development of associates. While each store’s sales volume is reviewed to determine the optimal store-level staffing requirements, our stores typically employ 17 to 30 associates. Part-time associates generally comprise approximately 60% of the associates in a typical store, with approximately 40% being full-time associates.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work tirelessly to hire talented people, to improve our ability to assess talent during the interview process and to regularly train those individuals at Ollie’s who are responsible for interviewing candidates. We also devote substantial resources to training our new managers through our Team Leader Training Program. This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 w:name="page11"/>
    <w:bookmarkEnd w:id="1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operates at 25 designated training stores located across our footprint. It provides an in-depth review of our operations, including merchandising, policies and procedures, asset protection and safety, and human resources. Part-time associates receive structured training as part of their onboarding throughout their first five scheduled shifts.</w:t>
      </w:r>
    </w:p>
    <w:p>
      <w:pPr>
        <w:spacing w:after="0" w:line="73"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Our Ollie’s Leadership Institute (“OLI”) is a program that is used to equip associates with the ability to advance their career. Each OLI participant receives an individual development plan, designed to prepare him or her for his or her next level position. Our strong growth provides opportunities for advancement and OLI is focused on preparing eligible candidates for these positions. OLI is our preferred source for new supervisors and team leaders as “home grown” talent has proven to be successful. Since the program was implemented in 2009, our internal promotion rate has increased from approximately 18% to approximately 55% in 2018. We believe our training and development programs help create a positive work environment and result in stores that operate at a high level.</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color w:val="auto"/>
        </w:rPr>
        <w:t>Our marketing and advertising campaigns feature colorful caricatures and witty sayings in order to make our customers laugh. We believe that by disarming our customers by getting them to giggle a bit, they are able to look at and trust our products for what they are—extremely great bargains. Our distinctive and often self-deprecating humor and highly recognizable caricatures are used in all of our stores, flyers and advertising campaigns.</w:t>
      </w:r>
    </w:p>
    <w:p>
      <w:pPr>
        <w:spacing w:after="0" w:line="79"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We tailor our marketing mix and strategy for each market, deal or promotion. We primarily use the following forms of marketing and advertising:</w:t>
      </w:r>
    </w:p>
    <w:p>
      <w:pPr>
        <w:spacing w:after="0" w:line="62" w:lineRule="exact"/>
        <w:rPr>
          <w:sz w:val="20"/>
          <w:szCs w:val="20"/>
          <w:color w:val="auto"/>
        </w:rPr>
      </w:pPr>
    </w:p>
    <w:p>
      <w:pPr>
        <w:jc w:val="both"/>
        <w:ind w:left="347" w:hanging="347"/>
        <w:spacing w:after="0" w:line="264" w:lineRule="auto"/>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Print and direct mail</w:t>
      </w:r>
      <w:r>
        <w:rPr>
          <w:rFonts w:ascii="Arial" w:cs="Arial" w:eastAsia="Arial" w:hAnsi="Arial"/>
          <w:sz w:val="18"/>
          <w:szCs w:val="18"/>
          <w:color w:val="auto"/>
        </w:rPr>
        <w:t>: During 2018, we distributed over 500 million highly recognizable flyers. Our flyers are distributed 22</w:t>
      </w:r>
      <w:r>
        <w:rPr>
          <w:rFonts w:ascii="Arial" w:cs="Arial" w:eastAsia="Arial" w:hAnsi="Arial"/>
          <w:sz w:val="18"/>
          <w:szCs w:val="18"/>
          <w:i w:val="1"/>
          <w:iCs w:val="1"/>
          <w:color w:val="auto"/>
        </w:rPr>
        <w:t xml:space="preserve"> </w:t>
      </w:r>
      <w:r>
        <w:rPr>
          <w:rFonts w:ascii="Arial" w:cs="Arial" w:eastAsia="Arial" w:hAnsi="Arial"/>
          <w:sz w:val="18"/>
          <w:szCs w:val="18"/>
          <w:color w:val="auto"/>
        </w:rPr>
        <w:t>times per year and serve as the foundation of our marketing strategy. They highlight current deals to create shopping urgency and drive traffic and increase frequency of store visits;</w:t>
      </w:r>
    </w:p>
    <w:p>
      <w:pPr>
        <w:spacing w:after="0" w:line="73" w:lineRule="exact"/>
        <w:rPr>
          <w:rFonts w:ascii="Arial" w:cs="Arial" w:eastAsia="Arial" w:hAnsi="Arial"/>
          <w:sz w:val="18"/>
          <w:szCs w:val="18"/>
          <w:color w:val="auto"/>
        </w:rPr>
      </w:pPr>
    </w:p>
    <w:p>
      <w:pPr>
        <w:ind w:left="347" w:right="20" w:hanging="347"/>
        <w:spacing w:after="0" w:line="342" w:lineRule="auto"/>
        <w:tabs>
          <w:tab w:leader="none" w:pos="34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Television and radio</w:t>
      </w:r>
      <w:r>
        <w:rPr>
          <w:rFonts w:ascii="Arial" w:cs="Arial" w:eastAsia="Arial" w:hAnsi="Arial"/>
          <w:sz w:val="16"/>
          <w:szCs w:val="16"/>
          <w:color w:val="auto"/>
        </w:rPr>
        <w:t>: We selectively utilize creative television and radio advertising campaigns in targeted markets 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times of the year, particularly during the holiday sales season, to create brand awareness and support new store openings;</w:t>
      </w:r>
    </w:p>
    <w:p>
      <w:pPr>
        <w:spacing w:after="0" w:line="15" w:lineRule="exact"/>
        <w:rPr>
          <w:rFonts w:ascii="Arial" w:cs="Arial" w:eastAsia="Arial" w:hAnsi="Arial"/>
          <w:sz w:val="16"/>
          <w:szCs w:val="16"/>
          <w:color w:val="auto"/>
        </w:rPr>
      </w:pPr>
    </w:p>
    <w:p>
      <w:pPr>
        <w:jc w:val="both"/>
        <w:ind w:left="347" w:hanging="347"/>
        <w:spacing w:after="0" w:line="297" w:lineRule="auto"/>
        <w:tabs>
          <w:tab w:leader="none" w:pos="34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Sports marketing, charity and community events</w:t>
      </w:r>
      <w:r>
        <w:rPr>
          <w:rFonts w:ascii="Arial" w:cs="Arial" w:eastAsia="Arial" w:hAnsi="Arial"/>
          <w:sz w:val="16"/>
          <w:szCs w:val="16"/>
          <w:color w:val="auto"/>
        </w:rPr>
        <w:t>: We sponsor professional and amateur athletics including Major League</w:t>
      </w:r>
      <w:r>
        <w:rPr>
          <w:rFonts w:ascii="Arial" w:cs="Arial" w:eastAsia="Arial" w:hAnsi="Arial"/>
          <w:sz w:val="16"/>
          <w:szCs w:val="16"/>
          <w:i w:val="1"/>
          <w:iCs w:val="1"/>
          <w:color w:val="auto"/>
        </w:rPr>
        <w:t xml:space="preserve"> </w:t>
      </w:r>
      <w:r>
        <w:rPr>
          <w:rFonts w:ascii="Arial" w:cs="Arial" w:eastAsia="Arial" w:hAnsi="Arial"/>
          <w:sz w:val="16"/>
          <w:szCs w:val="16"/>
          <w:color w:val="auto"/>
        </w:rPr>
        <w:t>Baseball, NASCAR, National Basketball Association, NCAA basketball and football, as well as various local athletic programs. Additionally, we are dedicated to maintaining a visible presence in the communities in which our stores are located through the sponsorship of charitable organizations such as Cal Ripken, Sr. Foundation and the Kevin Harvick Foundation. We believe these sponsorships promote our brand, underscore our values and build a sense of community; and</w:t>
      </w:r>
    </w:p>
    <w:p>
      <w:pPr>
        <w:spacing w:after="0" w:line="50" w:lineRule="exact"/>
        <w:rPr>
          <w:rFonts w:ascii="Arial" w:cs="Arial" w:eastAsia="Arial" w:hAnsi="Arial"/>
          <w:sz w:val="16"/>
          <w:szCs w:val="16"/>
          <w:color w:val="auto"/>
        </w:rPr>
      </w:pPr>
    </w:p>
    <w:p>
      <w:pPr>
        <w:jc w:val="both"/>
        <w:ind w:left="347" w:right="20" w:hanging="347"/>
        <w:spacing w:after="0" w:line="264" w:lineRule="auto"/>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Digital marketing and social media</w:t>
      </w:r>
      <w:r>
        <w:rPr>
          <w:rFonts w:ascii="Arial" w:cs="Arial" w:eastAsia="Arial" w:hAnsi="Arial"/>
          <w:sz w:val="18"/>
          <w:szCs w:val="18"/>
          <w:color w:val="auto"/>
        </w:rPr>
        <w:t>: We maintain an active web presence and promote our brand through our website, our</w:t>
      </w:r>
      <w:r>
        <w:rPr>
          <w:rFonts w:ascii="Arial" w:cs="Arial" w:eastAsia="Arial" w:hAnsi="Arial"/>
          <w:sz w:val="18"/>
          <w:szCs w:val="18"/>
          <w:i w:val="1"/>
          <w:iCs w:val="1"/>
          <w:color w:val="auto"/>
        </w:rPr>
        <w:t xml:space="preserve"> </w:t>
      </w:r>
      <w:r>
        <w:rPr>
          <w:rFonts w:ascii="Arial" w:cs="Arial" w:eastAsia="Arial" w:hAnsi="Arial"/>
          <w:sz w:val="18"/>
          <w:szCs w:val="18"/>
          <w:color w:val="auto"/>
        </w:rPr>
        <w:t>mobile app and social media outlets. We also utilize targeted weekly email marketing to highlight our latest brand name offerings and drive traffic to our stores.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Ollie’s Army</w:t>
      </w:r>
    </w:p>
    <w:p>
      <w:pPr>
        <w:spacing w:after="0" w:line="121" w:lineRule="exact"/>
        <w:rPr>
          <w:sz w:val="20"/>
          <w:szCs w:val="20"/>
          <w:color w:val="auto"/>
        </w:rPr>
      </w:pPr>
    </w:p>
    <w:p>
      <w:pPr>
        <w:jc w:val="both"/>
        <w:ind w:left="7"/>
        <w:spacing w:after="0" w:line="269" w:lineRule="auto"/>
        <w:rPr>
          <w:sz w:val="20"/>
          <w:szCs w:val="20"/>
          <w:color w:val="auto"/>
        </w:rPr>
      </w:pPr>
      <w:r>
        <w:rPr>
          <w:rFonts w:ascii="Arial" w:cs="Arial" w:eastAsia="Arial" w:hAnsi="Arial"/>
          <w:sz w:val="17"/>
          <w:szCs w:val="17"/>
          <w:color w:val="auto"/>
        </w:rPr>
        <w:t>Our customer loyalty program, Ollie’s Army, stands at 9.0 million members as of February 2, 2019, an increase of 8.7% from 2017. In 2018, Ollie’s Army members accounted for approximately 70% of net sales and spent approximately 40% more per shopping trip, on average, than non-members. Consistent with our marketing strategy, we engage new and existing Ollie’s Army members through the use of witty phrases and signage; examples include “Enlist in Ollie’s Army today,” “become one of the few, the cheap, the proud” and “Ollie’s Army Boot Camp…all enlistees will receive 15% off their next purchase.” In addition, for every $250 Ollie’s Army members spend, they receive a coupon for 10% off their next entire purchase. In 2018 we introduced Ollie’s Army ranks to the program. For the first $250 and $500 members spend in a calendar year, they receive a coupon for 20% and 30% off of one item, respectively. Historically, Ollie’s Army members have demonstrated double-digit redemption rates for promotional activities exclusive to Ollie’s Army members, such as our Valentine’s, Boot Camp and 15% off holiday mailers, as well as Ollie’s Army Night, an annual one-day after-hours sale in December exclusively for Ollie’s Army members. We expect to continue leveraging the data gathered from our proprietary database of Ollie’s Army members to better segment and target our marketing initiatives and increase shopping frequency.</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We compete with a diverse group of retailers, including discount, closeout, mass merchant, department, grocery, drug, convenience, hardware, variety, online and other specialty stores.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basis on which we compete against other retailers is by offering an ever changing selection of brand name products at compelling price points in an exciting shopping environment. Accordingly, we compete against a fragmented group of retailers, wholesalers and jobbers to acquire merchandise for sale in our stores.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established relationships with our suppliers, coupled with our scale, associated buying power, financial credibility and responsiveness, often makes Ollie’s the first call for available deals. Our direct relationships with suppliers have increased as we have grown, and we continuously strive to broaden our supplier network.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own multiple state and federally registered trademarks related to our brand, including “Ollie’s,” “Ollie’s Bargain Outlet,” “Good Stuff Cheap,” “Ollie’s Army,” “Real Brands Real Cheap!” and “Real Brands! Real Bargains!,” among others. In addition, we maintain a federal trademark for the image of Ollie, the face of our company. We also own registered trademarks for many of our private labels such as “Sarasota Breeze,” “Steelton Tools,” “American Way” and “Commonwealth Classics,” among others. We routinely prosecute trademarks where appropriate, both for private label goods and to further identify our services. We enter into trademark license agreements where necessary, which may include our private label offerings, such as the Magnavox products and Marcus Samuelsson Signature Cookware available in our stores. Our trademark registrations have various expiration dates; however, assuming that the trademark registrations are properly renewed, they have a perpetual duration. We also own several domain names, including www.ollies.us, www.olliesbargainoutlet.com, www.olliesarmy.com, www.ollies.cheap, www.sarasotabreeze.com and www.olliesmail.com, and unregistered copyrights in our website content. We attempt to obtain registration of our trademarks as practical and pursue infringement of those marks when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information systems provide a full range of business process assistance and timely information to support our merchandising team and strategy, management of multiple distribution centers, stores and operations, and financial reporting. We believe our current systems provide us with operational efficiencies, scalability, management control and timely reporting that allow us to identify and respond to merchandising and operating trends in our business. We use a combination of internal and external resources to support store point-of-sale, merchandise acquisition and distribution, inventory management, financial reporting, real estate and administrative functions. We continuously assess ways to maximize productivity and efficiency, as well as evaluate opportunities to further enhance our existing systems. Our existing systems are scalable to support future growth.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labor and employment laws, including minimum wage requirements and wage and hour laws, laws governing advertising, privacy laws, safety regulations and other laws, including consumer protection regulations that regulate retailers and/or govern product standards, the promotion and sale of merchandise and the operation of stores and warehouse facilities. We monitor changes in these laws and believe that we are in material compliance with applicable laws.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vendor compliance agreements mandate compliance with applicable law, including these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maintain third-party insurance for a number of risk management activities, including workers’ compensation, general liability, commercial property, ocean marine, cyber, director and officer and employee benefit related insurance policies. We evaluate our insurance requirements on an ongoing basis to ensure we maintain adequate levels of coverage.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 2019, we employed more than 7,700 associates, approximately 3,400 of whom were full-time and approximately 4,300 of whom were part-time. Of our total associate base, approximately 160 were based at our store support center in Harrisburg, PA. Our distribution centers employ approximately 530 associates. The remaining were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store and field associates. The number of associates in a fiscal year fluctuates depending on the business needs at different times of the year. In 2018, we employed approximately 3,000 additional seasonal associates during our peak holiday sales season. We have a long history of maintaining a culture that embraces our associates. We take pride in providing a great work environment and strong growth opportunities for our associates. None of our associates belong to a union or are party to any collective bargaining or similar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less impacted than other retailers by economic cycles which correspond with declines in general consumer spending habits and we believe we still benefit from periods of increased consumer spending.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Securities and Exchange Act are available free of charge on our website, www.ollies.us, as soon as reasonably practicable after the electronic filing of such reports with the Securities and Exchange Commission (“SEC”).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as well as other information in this Annual Report on Form 10-K, before deciding whether to invest in the shares of our common stock. The occurrence of any of the events described below could have a material adverse effect on our business, financial condition or results of operations. In the case of such an event, the trading price of our common stock may decline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We may not be able to execute our opportunistic buying, adequately manage our supply of inventory or anticipate customer demand, which could have a material adverse effect on our business, financial condition and results of operations.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dependent on our ability to strategically source a sufficient volume and variety of brand name merchandise at opportunistic pricing. We do not have significant control over the supply, design, function, cost or availability of many of the products that we offer for sale in our stores. Additionally, because a substantial amount of our store products are sourced by us from suppliers on a closeout basis or with significantly reduced prices for specific reasons, we are not always able to purchase specific merchandise on a recurring basis. We do not have long-term contracts with our suppliers and, therefore, we have no contractual assurances of pricing or access to products and any supplier could discontinue sales to us at any time or offer us less favorable terms on future transactions. We generally make individual purchase decisions for products that become available, and these purchases may be for large quantities that we may not be able to sell on a timely or cost-effective basis. Due to economic uncertainties, some of our suppliers may cease operations or may otherwise become unable to continue supplying discounted or closeout merchandise on terms or in quantities acceptable to us.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compete with other retailers, wholesalers and jobbers for discounted or closeout merchandise to sell in our stores. Although we work with a range of suppliers, to the extent that certain of our suppliers are better able to manage their inventory levels and reduce the amount of their excess inventory, the amount of discount or closeout merchandise available to us could also be materially reduced, potentially compromising profit margin goals for procured merchandise.</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Shortages or disruptions in the availability of brand name or unbranded products of a quality acceptable to our customers and us could have a material adverse effect on our business, financial condition and results of operations and also may result in customer dissatisfaction. In addition, we may significantly overstock products that prove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 w:name="page14"/>
    <w:bookmarkEnd w:id="1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be undesirable and be forced to take significant markdowns. We cannot ensure that our merchant team will continue to identify the appropriate customer demand and take advantage of appropriate buying opportunities, which could have a material adverse effect on our business, financial condition and results of operations.</w:t>
      </w:r>
    </w:p>
    <w:p>
      <w:pPr>
        <w:spacing w:after="0" w:line="168"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Our ability to generate revenues is dependent on consumer confidence and spending, which may be subject to factors beyond our control, including changes in economic and political conditions.</w:t>
      </w:r>
    </w:p>
    <w:p>
      <w:pPr>
        <w:spacing w:after="0" w:line="75"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The success of our business depends, to a significant extent, on the level of consumer confidence and spending. A number of factors beyond our control affect the level of customer confidence and spending on merchandise that we offer, including, among other things:</w:t>
      </w:r>
    </w:p>
    <w:p>
      <w:pPr>
        <w:spacing w:after="0" w:line="73" w:lineRule="exact"/>
        <w:rPr>
          <w:sz w:val="20"/>
          <w:szCs w:val="20"/>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and gasoline prices;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disposable income of our customers;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discounts, promotions and merchandise offered by our competitors;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 debt levels of our customers;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reports and publicity about the discount retail industry;</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unemployment levels;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wages;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industry conditions;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food prices;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 of the housing market;</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confidence in future economic conditions;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financial markets;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rates and policies;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outbreak of viruses or widespread illness;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war, terrorism and other hostilities.</w:t>
      </w:r>
    </w:p>
    <w:p>
      <w:pPr>
        <w:spacing w:after="0" w:line="117"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Reduced customer confidence and spending cut backs may result in reduced demand for our merchandise, including discretionary items, and may force us to take inventory markdowns. Reduced demand also may require increased selling and promotional expenses. Adverse economic conditions and any related decrease in customer demand for our merchandise could have a material adverse effect on our business, financial condition and results of operations.</w:t>
      </w:r>
    </w:p>
    <w:p>
      <w:pPr>
        <w:spacing w:after="0" w:line="79" w:lineRule="exact"/>
        <w:rPr>
          <w:sz w:val="20"/>
          <w:szCs w:val="20"/>
          <w:color w:val="auto"/>
        </w:rPr>
      </w:pPr>
    </w:p>
    <w:p>
      <w:pPr>
        <w:jc w:val="both"/>
        <w:ind w:left="7"/>
        <w:spacing w:after="0" w:line="257" w:lineRule="auto"/>
        <w:rPr>
          <w:sz w:val="20"/>
          <w:szCs w:val="20"/>
          <w:color w:val="auto"/>
        </w:rPr>
      </w:pPr>
      <w:r>
        <w:rPr>
          <w:rFonts w:ascii="Arial" w:cs="Arial" w:eastAsia="Arial" w:hAnsi="Arial"/>
          <w:sz w:val="18"/>
          <w:szCs w:val="18"/>
          <w:color w:val="auto"/>
        </w:rPr>
        <w:t>Many of the factors identified above also affect commodity rates, transportation costs, costs of labor, insurance and healthcare, the strength of the U.S. dollar, lease costs, measures that create barriers to or increase the costs associated with international trade, changes in other laws and regulations and other economic factors, all of which may impact our cost of goods sold and our selling, general and administrative expenses, which could have a material adverse effect on our business, financial condition and results of operations.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We face intense competition, which could limit our growth opportunities and adversely impact our financial performance.</w:t>
      </w:r>
    </w:p>
    <w:p>
      <w:pPr>
        <w:spacing w:after="0" w:line="127"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We compete with a highly fragmented group of competitors, including discount, closeout, mass merchant, department, grocery, drug, convenience, hardware, variety, online and other specialty stores. We compete with these retailers with respect to price, store location, supply and quality of merchandise, assortment and presentation and customer service. This competitive environment subjects us to the risk of an adverse impact to our financial performance because of the lower prices, and thus the lower margins, that are required to maintain our competitive position. A number of different competitive factors outside of our control could impact our ability to compete effectively, including:</w:t>
      </w:r>
    </w:p>
    <w:p>
      <w:pPr>
        <w:spacing w:after="0" w:line="85" w:lineRule="exact"/>
        <w:rPr>
          <w:sz w:val="20"/>
          <w:szCs w:val="20"/>
          <w:color w:val="auto"/>
        </w:rPr>
      </w:pPr>
    </w:p>
    <w:p>
      <w:pPr>
        <w:ind w:left="347" w:hanging="347"/>
        <w:spacing w:after="0"/>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of new competitors in our markets;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 w:name="page15"/>
    <w:bookmarkEnd w:id="14"/>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47" w:hanging="347"/>
        <w:spacing w:after="0"/>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retail capabilities of our competitors;</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pricing strategies, including deep discount pricing by a broad range of retailers during periods of poor customer confidence, low discretionary income or economic uncertainty;</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and prolonged promotional activity by our competitors;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liquidation sales by our competitors that have filed or may file in the future for bankruptcy;</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geographic expansion by competitors into markets in which we currently operate;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by existing competitors of innovative store formats or retail sales methods.</w:t>
      </w:r>
    </w:p>
    <w:p>
      <w:pPr>
        <w:spacing w:after="0" w:line="117"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A number of our competitors also have greater financial and operational resources, greater brand recognition, longer operating histories and broader geographic presences than us. We remain vulnerable to the marketing power and high level of customer recognition of these larger competitors and to the risk that these or other competitors could attract our customer base, including, but not limited to, the members of Ollie’s Army.</w:t>
      </w:r>
    </w:p>
    <w:p>
      <w:pPr>
        <w:spacing w:after="0" w:line="79"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In addition, if any of our competitors were to consolidate their operations, such consolidation may result in competitors with greatly improved financial resources, improved access to merchandise, greater market penetration and other improvements in their competitive positions, as well as result in the provision of a wider variety of products and services at competitive prices by these consolidated companies, which could adversely affect our financial performance.</w:t>
      </w:r>
    </w:p>
    <w:p>
      <w:pPr>
        <w:spacing w:after="0" w:line="79" w:lineRule="exact"/>
        <w:rPr>
          <w:sz w:val="20"/>
          <w:szCs w:val="20"/>
          <w:color w:val="auto"/>
        </w:rPr>
      </w:pPr>
    </w:p>
    <w:p>
      <w:pPr>
        <w:jc w:val="both"/>
        <w:ind w:left="7" w:right="20"/>
        <w:spacing w:after="0" w:line="312" w:lineRule="auto"/>
        <w:rPr>
          <w:sz w:val="20"/>
          <w:szCs w:val="20"/>
          <w:color w:val="auto"/>
        </w:rPr>
      </w:pPr>
      <w:r>
        <w:rPr>
          <w:rFonts w:ascii="Arial" w:cs="Arial" w:eastAsia="Arial" w:hAnsi="Arial"/>
          <w:sz w:val="16"/>
          <w:szCs w:val="16"/>
          <w:color w:val="auto"/>
        </w:rPr>
        <w:t>We cannot guarantee that we will continue to be able to successfully compete against either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33" w:lineRule="exact"/>
        <w:rPr>
          <w:sz w:val="20"/>
          <w:szCs w:val="20"/>
          <w:color w:val="auto"/>
        </w:rPr>
      </w:pPr>
    </w:p>
    <w:p>
      <w:pPr>
        <w:jc w:val="both"/>
        <w:ind w:left="7"/>
        <w:spacing w:after="0" w:line="246" w:lineRule="auto"/>
        <w:rPr>
          <w:sz w:val="20"/>
          <w:szCs w:val="20"/>
          <w:color w:val="auto"/>
        </w:rPr>
      </w:pPr>
      <w:r>
        <w:rPr>
          <w:rFonts w:ascii="Arial" w:cs="Arial" w:eastAsia="Arial" w:hAnsi="Arial"/>
          <w:sz w:val="18"/>
          <w:szCs w:val="18"/>
          <w:b w:val="1"/>
          <w:bCs w:val="1"/>
          <w:i w:val="1"/>
          <w:iCs w:val="1"/>
          <w:color w:val="auto"/>
        </w:rPr>
        <w:t>If we fail to open new profitable stores on a timely basis or successfully enter new markets, our financial performance could be materially adversely affected.</w:t>
      </w:r>
    </w:p>
    <w:p>
      <w:pPr>
        <w:spacing w:after="0" w:line="75" w:lineRule="exact"/>
        <w:rPr>
          <w:sz w:val="20"/>
          <w:szCs w:val="20"/>
          <w:color w:val="auto"/>
        </w:rPr>
      </w:pPr>
    </w:p>
    <w:p>
      <w:pPr>
        <w:jc w:val="both"/>
        <w:ind w:left="7"/>
        <w:spacing w:after="0" w:line="254" w:lineRule="auto"/>
        <w:rPr>
          <w:sz w:val="20"/>
          <w:szCs w:val="20"/>
          <w:color w:val="auto"/>
        </w:rPr>
      </w:pPr>
      <w:r>
        <w:rPr>
          <w:rFonts w:ascii="Arial" w:cs="Arial" w:eastAsia="Arial" w:hAnsi="Arial"/>
          <w:sz w:val="18"/>
          <w:szCs w:val="18"/>
          <w:color w:val="auto"/>
        </w:rPr>
        <w:t>Our primary growth strategy is to open new profitable stores and expand our operations into new geographic regions. We opened 37 and 34 new stores in 2018 and 2017, respectively, as we continue to backfill in existing markets and expand into contiguous geographies. Our ability to timely open new stores depends in part on several factors, including the availability of attractive rents and store locations; the absence of occupancy delays; the ability to negotiate and enter into leases with acceptable terms; our ability to obtain permits and licenses; our ability to hire and train new personnel, especially store managers, in a cost effective manner; our ability to adapt and grow our distribution and other operational and management systems to a changing network of stores; the availability of capital funding for expansion; our ability to respond to demographic shifts in areas where our stores are located and general economic conditions.</w:t>
      </w:r>
    </w:p>
    <w:p>
      <w:pPr>
        <w:spacing w:after="0" w:line="84" w:lineRule="exact"/>
        <w:rPr>
          <w:sz w:val="20"/>
          <w:szCs w:val="20"/>
          <w:color w:val="auto"/>
        </w:rPr>
      </w:pPr>
    </w:p>
    <w:p>
      <w:pPr>
        <w:jc w:val="both"/>
        <w:ind w:left="7"/>
        <w:spacing w:after="0" w:line="271" w:lineRule="auto"/>
        <w:rPr>
          <w:sz w:val="20"/>
          <w:szCs w:val="20"/>
          <w:color w:val="auto"/>
        </w:rPr>
      </w:pPr>
      <w:r>
        <w:rPr>
          <w:rFonts w:ascii="Arial" w:cs="Arial" w:eastAsia="Arial" w:hAnsi="Arial"/>
          <w:sz w:val="17"/>
          <w:szCs w:val="17"/>
          <w:color w:val="auto"/>
        </w:rPr>
        <w:t>We may not anticipate all of the challenges imposed by the expansion of our operations into new geographic markets. Some new stores may be located in areas with different competitive and market conditions, customer tastes and discretionary spending patterns than our existing markets. We may face a higher cost of entry, alternative customer demands, reduced brand recognition and minimal operating experience in these areas. Although we are extremely sensitive to cannibalizing existing stores, opening new stores in our established markets may also result in inadvertent oversaturation, sales volume transfer from existing stores to new stores and reduced comparable store sales, thus adversely affecting our overall financial performance. We may not manage our expansion effectively, and our failure to achieve or properly execute our expansion plans could limit our growth or have a material adverse effect on our business, financial condition and results of operations.</w:t>
      </w:r>
    </w:p>
    <w:p>
      <w:pPr>
        <w:spacing w:after="0" w:line="165"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We may not be able to retain the loyalty of our customers, particularly Ollie’s Army members, which could have a material adverse effect on our business, financial condition and results of operations.</w:t>
      </w:r>
    </w:p>
    <w:p>
      <w:pPr>
        <w:spacing w:after="0" w:line="75"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We depend on our loyal customer base, particularly members of Ollie’s Army, for our consistent sales and sales growth. Competition for customers has intensified as competitors have moved into, or increased their presence in, our geographic markets and from the use of mobile and web-based technology that facilitates online shopping and real-time product and price comparisons. We expect this competition to continue to increase. Our competitors may be able to offer consumers promotions or loyalty program incentives that could attract Ollie’s Army members or divide their loyalty among several retailers. If we are unable to retain the loyalty of our customers, our net sales could</w:t>
      </w:r>
    </w:p>
    <w:p>
      <w:pPr>
        <w:spacing w:after="0" w:line="19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decrease and we may not be able to grow our store base as planned, which could have a material adverse effect on our business, financial condition and results of operations.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success depends on our executive officers, our merchant team and other key personnel. If we lose key personnel or are unable to hire additional qualified personnel, it could have a material adverse effect on our business, financial condition and results of operations.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depends to a significant degree on the skills, experience and efforts of our executive officers, our merchant team and other key personnel. The unexpected loss of services of any of our executive officers, particularly Mark Butler, our co-founder, Chairman, President and Chief Executive Officer, or senior members of our merchant team could materially adversely affect our business and operations. Competition for skilled and experienced management in the retail industry is intense, and our future success will also depend on our ability to attract and retain qualified personnel, including our merchant team, which is responsible for purchasing and negotiating the terms of our merchandise. Failure to attract and retain new qualified personnel could have a material adverse effect on our business, financial condition and results of operations.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new store growth is dependent on our ability to successfully expand our distribution network capacity, and failure to achieve or sustain these plans could affect our performance adversely.</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distribution centers in York, PA and Commerce, GA and are building a third in Lancaster, TX to support our existing stores and our growth objectives. We continuously assess ways to maximize the productivity and efficiency of our existing distribution facilities and evaluate opportunities for additional distribution centers. Delays in opening our Lancaster, TX distribution center or any future new distribution centers could adversely affect our future operations by slowing store growth, which could, in turn, reduce sales growth. In addition, any distribution-related construction or expansion projects entail risks which could cause delays and cost overruns, such as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including our Lancaster, TX distribution center, could differ significantly from initial expectations due to construction-related or other reasons. We cannot guarantee that any project will be completed on time or within established budgets.</w:t>
      </w:r>
    </w:p>
    <w:p>
      <w:pPr>
        <w:spacing w:after="0" w:line="16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The failure to timely acquire, develop, and open, the loss of, or disruption or interruption in the operations of, our centralized distribution centers could materially adversely affect our business and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few exceptions, inventory is shipped directly from suppliers to our distribution centers in York, PA, and Commerce, GA, where the inventory is then processed, sorted and shipped to our stores. We depend in large part on the orderly operation of this receiving and distribution process, which depends, in turn, on adherence to shipping schedules and effective management of our distribution centers. Increases in transportation costs (including increases in fuel costs), supplier-side delays, reductions in the capacity of carriers, changes in shipping companies, labor strikes or shortages in the transportation industry and unexpected delivery interruptions also have the potential to derail our orderly distribution process. We also may not anticipate changing demands on our distribution system or timely develop and open any necessary additional facilities. In addition, events beyond our control, such as disruptions in operations due to fire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In addition, our new store locations receiving shipments may be further away from our distribution centers, which may increase transportation costs and may create transportation scheduling strains. Any repeated, intermittent, or long-term disruption in the operations of our distribution centers would hinder our ability to provide merchandise to our stores and could have a material adverse effect on our business, financial condition and results of operations.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Factors such as inflation, cost increases and energy prices could have a material adverse effect on our business, financial condition and results of operations.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increases in costs, such as the cost of merchandise, shipping rates, freight costs and store occupancy costs, may reduce our profitability, given our pricing model. These cost increases may be the result of inflationary pressures, geopolitical factors or public policies, which could further reduce our sales or profitability. Increases in other operating costs, including changes in energy prices, wage rates and lease and utility costs, may increase our cost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86" w:lineRule="auto"/>
        <w:rPr>
          <w:sz w:val="20"/>
          <w:szCs w:val="20"/>
          <w:color w:val="auto"/>
        </w:rPr>
      </w:pPr>
      <w:r>
        <w:rPr>
          <w:rFonts w:ascii="Arial" w:cs="Arial" w:eastAsia="Arial" w:hAnsi="Arial"/>
          <w:sz w:val="17"/>
          <w:szCs w:val="17"/>
          <w:color w:val="auto"/>
        </w:rPr>
        <w:t>goods sold or selling, general and administrative expenses. Our low price model and competitive pressures in our industry may have the effect of inhibiting our ability to reflect these increased costs in the prices of our products and, therefore, reduce our profitability and have a material adverse effect on our business, financial condition and results of operations.</w:t>
      </w:r>
    </w:p>
    <w:p>
      <w:pPr>
        <w:spacing w:after="0" w:line="152" w:lineRule="exact"/>
        <w:rPr>
          <w:sz w:val="20"/>
          <w:szCs w:val="20"/>
          <w:color w:val="auto"/>
        </w:rPr>
      </w:pPr>
    </w:p>
    <w:p>
      <w:pPr>
        <w:jc w:val="both"/>
        <w:ind w:left="7"/>
        <w:spacing w:after="0" w:line="246" w:lineRule="auto"/>
        <w:rPr>
          <w:sz w:val="20"/>
          <w:szCs w:val="20"/>
          <w:color w:val="auto"/>
        </w:rPr>
      </w:pPr>
      <w:r>
        <w:rPr>
          <w:rFonts w:ascii="Arial" w:cs="Arial" w:eastAsia="Arial" w:hAnsi="Arial"/>
          <w:sz w:val="18"/>
          <w:szCs w:val="18"/>
          <w:b w:val="1"/>
          <w:bCs w:val="1"/>
          <w:i w:val="1"/>
          <w:iCs w:val="1"/>
          <w:color w:val="auto"/>
        </w:rPr>
        <w:t>If we are not successful in managing our inventory balances, it could have a material adverse effect on our business, financial condition and results of operations.</w:t>
      </w:r>
    </w:p>
    <w:p>
      <w:pPr>
        <w:spacing w:after="0" w:line="75"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Our inventory balance represented 61.5% of our total assets exclusive of goodwill, trade name and other intangible assets, net, as of February 2, 2019. Efficient inventory management is a key component of our profitability and ability to generate revenue. To be successful, we must maintain sufficient inventory levels and an appropriate product mix to meet our customers’ demands without allowing those levels to increase to such an extent that the costs to store and hold the goods adversely impact our results of operations. If our buying decisions do not accurately correspond to customer preferences, if we inappropriately price products or if our expectations about customer spending levels are inaccurate, we may have to take unanticipated markdowns to dispose of any excess inventory, which could have a material adverse effect on our business, financial condition and results of operations. We continue to focus on ways to reduce these risks, but we cannot ensure that we will be successful in our inventory management. If we are not successful in managing our inventory balances, it could have a material adverse effect on our business, financial condition and results of operations.</w:t>
      </w:r>
    </w:p>
    <w:p>
      <w:pPr>
        <w:spacing w:after="0" w:line="164"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We may not be successful in the implementation of our long-term business strategy, which could materially adversely affect our business, results of operations, cash flows and financial condition.</w:t>
      </w:r>
    </w:p>
    <w:p>
      <w:pPr>
        <w:spacing w:after="0" w:line="75" w:lineRule="exact"/>
        <w:rPr>
          <w:sz w:val="20"/>
          <w:szCs w:val="20"/>
          <w:color w:val="auto"/>
        </w:rPr>
      </w:pPr>
    </w:p>
    <w:p>
      <w:pPr>
        <w:jc w:val="both"/>
        <w:ind w:left="7" w:right="20"/>
        <w:spacing w:after="0" w:line="342" w:lineRule="auto"/>
        <w:rPr>
          <w:sz w:val="20"/>
          <w:szCs w:val="20"/>
          <w:color w:val="auto"/>
        </w:rPr>
      </w:pPr>
      <w:r>
        <w:rPr>
          <w:rFonts w:ascii="Arial" w:cs="Arial" w:eastAsia="Arial" w:hAnsi="Arial"/>
          <w:sz w:val="16"/>
          <w:szCs w:val="16"/>
          <w:color w:val="auto"/>
        </w:rPr>
        <w:t>Our success depends, to a significant degree, on our ability to successfully implement our long-term business strategy. Our ability to successfully implement our business strategy depends on a significant number of factors, including, but not limited to, our ability to:</w:t>
      </w:r>
    </w:p>
    <w:p>
      <w:pPr>
        <w:spacing w:after="0" w:line="16" w:lineRule="exact"/>
        <w:rPr>
          <w:sz w:val="20"/>
          <w:szCs w:val="20"/>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store base and increase our customers;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an adequate supply of quality brand name and closeout merchandise from suppliers at competitive prices;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profitable sales and to make adjustments as market conditions change;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foster customer acceptance of our marketing and merchandise strategies;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to competitive pressures in our industry;</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store-level and management-level associates;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respond to the dynamics and demands of our market;</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our relationships with our suppliers and customers;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achieve positive cash flow, particularly during our peak inventory build-ups in advance of the holiday sales season; and</w:t>
      </w:r>
    </w:p>
    <w:p>
      <w:pPr>
        <w:spacing w:after="0" w:line="128" w:lineRule="exact"/>
        <w:rPr>
          <w:rFonts w:ascii="Arial" w:cs="Arial" w:eastAsia="Arial" w:hAnsi="Arial"/>
          <w:sz w:val="17"/>
          <w:szCs w:val="17"/>
          <w:color w:val="auto"/>
        </w:rPr>
      </w:pPr>
    </w:p>
    <w:p>
      <w:pPr>
        <w:ind w:left="347" w:hanging="347"/>
        <w:spacing w:after="0"/>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to any revised or new strategic initiatives and organizational structure.</w:t>
      </w:r>
    </w:p>
    <w:p>
      <w:pPr>
        <w:spacing w:after="0" w:line="117"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Any failure to achieve any or all of our business strategies could have a material adverse effect on our business, financial condition and results of operations.</w:t>
      </w:r>
    </w:p>
    <w:p>
      <w:pPr>
        <w:spacing w:after="0" w:line="157" w:lineRule="exact"/>
        <w:rPr>
          <w:sz w:val="20"/>
          <w:szCs w:val="20"/>
          <w:color w:val="auto"/>
        </w:rPr>
      </w:pPr>
    </w:p>
    <w:p>
      <w:pPr>
        <w:jc w:val="both"/>
        <w:ind w:left="7"/>
        <w:spacing w:after="0" w:line="307" w:lineRule="auto"/>
        <w:rPr>
          <w:sz w:val="20"/>
          <w:szCs w:val="20"/>
          <w:color w:val="auto"/>
        </w:rPr>
      </w:pPr>
      <w:r>
        <w:rPr>
          <w:rFonts w:ascii="Arial" w:cs="Arial" w:eastAsia="Arial" w:hAnsi="Arial"/>
          <w:sz w:val="16"/>
          <w:szCs w:val="16"/>
          <w:b w:val="1"/>
          <w:bCs w:val="1"/>
          <w:i w:val="1"/>
          <w:iCs w:val="1"/>
          <w:color w:val="auto"/>
        </w:rPr>
        <w:t>If we are unable to attract, train and retain highly qualified managerial personnel and sales associates in our stores and our distribution centers, our sales, financial performance and business operations may be materially adversely affected.</w:t>
      </w:r>
    </w:p>
    <w:p>
      <w:pPr>
        <w:spacing w:after="0" w:line="29" w:lineRule="exact"/>
        <w:rPr>
          <w:sz w:val="20"/>
          <w:szCs w:val="20"/>
          <w:color w:val="auto"/>
        </w:rPr>
      </w:pPr>
    </w:p>
    <w:p>
      <w:pPr>
        <w:jc w:val="both"/>
        <w:ind w:left="7" w:right="20"/>
        <w:spacing w:after="0" w:line="254" w:lineRule="auto"/>
        <w:rPr>
          <w:sz w:val="20"/>
          <w:szCs w:val="20"/>
          <w:color w:val="auto"/>
        </w:rPr>
      </w:pPr>
      <w:r>
        <w:rPr>
          <w:rFonts w:ascii="Arial" w:cs="Arial" w:eastAsia="Arial" w:hAnsi="Arial"/>
          <w:sz w:val="18"/>
          <w:szCs w:val="18"/>
          <w:color w:val="auto"/>
        </w:rPr>
        <w:t>We focus on providing our customers with a memorable and engaging shopping experience. To grow our operations and meet the needs and expectations of our customers, we must attract, train and retain a large number of highly qualified store management personnel and sales associates, while controlling labor costs. Our ability to control labor costs is subject to numerous external factors, including competition for and availability of qualified personnel in a given market, unemployment levels within those markets, governmental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associates. We</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 w:name="page18"/>
    <w:bookmarkEnd w:id="17"/>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76" w:lineRule="auto"/>
        <w:rPr>
          <w:sz w:val="20"/>
          <w:szCs w:val="20"/>
          <w:color w:val="auto"/>
        </w:rPr>
      </w:pPr>
      <w:r>
        <w:rPr>
          <w:rFonts w:ascii="Arial" w:cs="Arial" w:eastAsia="Arial" w:hAnsi="Arial"/>
          <w:sz w:val="17"/>
          <w:szCs w:val="17"/>
          <w:color w:val="auto"/>
        </w:rPr>
        <w:t>compete with other retail businesses for many of our store management personnel and sales associates in hourly and part-time positions. These positions have had historically high turnover rates, which can lead to increased training and retention costs. We also rely on associates in our distribution centers to ensure the efficient processing and delivery of products from our suppliers to our stores. If we are unable to attract and retain quality associates, and other management personnel, it could have a material adverse effect on our business, financial condition and results of operations.</w:t>
      </w:r>
    </w:p>
    <w:p>
      <w:pPr>
        <w:spacing w:after="0" w:line="159"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Our business requires that we lease substantial amounts of space and there can be no assurance that we will be able to continue to lease space on terms as favorable as the leases negotiated in the past.</w:t>
      </w:r>
    </w:p>
    <w:p>
      <w:pPr>
        <w:spacing w:after="0" w:line="75"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We lease the majority of our store locations, our corporate headquarters and our distribution facilities in York, PA and Commerce, GA. Our stores are leased from third parties, with typical initial lease terms of approximately seven years with options to renew for three to five successive five-year periods. We believe that we have been able to negotiate favorable rental rates over the last few years due in large part to the general state of the economy, the increased availability of vacant big box retail sites and our careful identification of favorable lease opportunities. While we will continue to seek out advantageous lease opportunities, there is no guarantee that we will continue to be able to find low-cost second generation sites or obtain favorable lease terms. Many of our lease agreements have defined escalating rent provisions over the initial term and any extensions. Increases in our occupancy costs and difficulty in identifying economically suitable new store locations could have significant negative consequences, which include:</w:t>
      </w:r>
    </w:p>
    <w:p>
      <w:pPr>
        <w:spacing w:after="0" w:line="58" w:lineRule="exact"/>
        <w:rPr>
          <w:sz w:val="20"/>
          <w:szCs w:val="20"/>
          <w:color w:val="auto"/>
        </w:rPr>
      </w:pPr>
    </w:p>
    <w:p>
      <w:pPr>
        <w:ind w:left="347" w:hanging="347"/>
        <w:spacing w:after="0" w:line="277" w:lineRule="auto"/>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that a greater portion of our available cash be applied to pay our rental obligations, thus reducing cash available for other purposes and reducing profitability;</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w:t>
      </w:r>
    </w:p>
    <w:p>
      <w:pPr>
        <w:spacing w:after="0" w:line="117"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We depend on cash flow from operations to pay our lease expenses and to fulfill our other cash needs. If our business does not generate sufficient cash flow from operating activities to fund these expenses and needs and sufficient funds are not otherwise available to us, we may not be able to service our lease expenses, grow our business, respond to competitive challenges or fund our other liquidity and capital needs, which could harm our business. 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among other things, paying the base rent for the balance of the lease term. Moreover, even if a lease has an early cancellation clause, we may not satisfy the contractual requirements for early cancellation under that lease. In addition, if we are not able to enter into new leases or renew existing leases on terms acceptable to us, this could have a material adverse effect on our business, financial condition and results of operations.</w:t>
      </w:r>
    </w:p>
    <w:p>
      <w:pPr>
        <w:spacing w:after="0" w:line="164"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We do not compete in the growing online retail marketplace, which could have a material adverse effect on our business, financial condition and results of operations.</w:t>
      </w:r>
    </w:p>
    <w:p>
      <w:pPr>
        <w:spacing w:after="0" w:line="75"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Our long-term business strategy does not presently include the development of online retailing capabilities. To the extent that we implement online operations, we would incur substantial expenses related to such activities and be exposed to additional cybersecurity risks. Further, any development of an online retail marketplace is a complex undertaking, and there is no guarantee that any resources we apply to this effort will result in increased revenues or operating performance. However, with the growing acceptance of online shopping and the increased proliferation of mobile devices, competition from other retailers in the online retail marketplace is expected to increase. Certain of our competitors and a number of pure online retailers have established robust online operations. Increased competition from online retailers and our lack of an online retail presence may reduce our customers’ desire to purchase goods from us and could have a material adverse effect on our business, financial condition and results of operations.</w:t>
      </w:r>
    </w:p>
    <w:p>
      <w:pPr>
        <w:spacing w:after="0" w:line="153" w:lineRule="exact"/>
        <w:rPr>
          <w:sz w:val="20"/>
          <w:szCs w:val="20"/>
          <w:color w:val="auto"/>
        </w:rPr>
      </w:pPr>
    </w:p>
    <w:p>
      <w:pPr>
        <w:jc w:val="both"/>
        <w:ind w:left="7"/>
        <w:spacing w:after="0" w:line="235" w:lineRule="auto"/>
        <w:rPr>
          <w:sz w:val="20"/>
          <w:szCs w:val="20"/>
          <w:color w:val="auto"/>
        </w:rPr>
      </w:pPr>
      <w:r>
        <w:rPr>
          <w:rFonts w:ascii="Arial" w:cs="Arial" w:eastAsia="Arial" w:hAnsi="Arial"/>
          <w:sz w:val="18"/>
          <w:szCs w:val="18"/>
          <w:b w:val="1"/>
          <w:bCs w:val="1"/>
          <w:i w:val="1"/>
          <w:iCs w:val="1"/>
          <w:color w:val="auto"/>
        </w:rPr>
        <w:t>Our success depends 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81"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We use marketing and promotional programs to attract customers to our stores and to encourage purchases by our customers. Although we use various media for our promotional efforts, including regular and Ollie’s Army mailers,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email campaigns, radio and television advertisements and sports marketing, we primarily advertise our in-store offerings through printed flyers. In 2018, approximately 70% of our advertising spend was for the printing and distribution of flyers. If the efficacy of printed flyers as an advertising medium declines, or if we fail to successfully develop and implement new marketing, advertising and promotional strategies, such as an effective social media strategy, our competitors may be able to attract the interest of our customers, which could reduce customer traffic in our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including our Ollie’s Army members, it could have a material adverse effect on our business, financial condition and results of operations.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If we fail to protect our brand names, competitors may adopt trade names that dilute the value of these assets.</w:t>
      </w:r>
    </w:p>
    <w:p>
      <w:pPr>
        <w:spacing w:after="0" w:line="117" w:lineRule="exact"/>
        <w:rPr>
          <w:sz w:val="20"/>
          <w:szCs w:val="20"/>
          <w:color w:val="auto"/>
        </w:rPr>
      </w:pPr>
    </w:p>
    <w:p>
      <w:pPr>
        <w:jc w:val="both"/>
        <w:ind w:left="7"/>
        <w:spacing w:after="0" w:line="279" w:lineRule="auto"/>
        <w:rPr>
          <w:sz w:val="20"/>
          <w:szCs w:val="20"/>
          <w:color w:val="auto"/>
        </w:rPr>
      </w:pPr>
      <w:r>
        <w:rPr>
          <w:rFonts w:ascii="Arial" w:cs="Arial" w:eastAsia="Arial" w:hAnsi="Arial"/>
          <w:sz w:val="17"/>
          <w:szCs w:val="17"/>
          <w:color w:val="auto"/>
        </w:rPr>
        <w:t>We may be unable or unwilling to strictly enforce our trademarks in each jurisdiction in which we do business. Also, we may not always be able to successfully enforce our trademarks against competitors or against challenges by others. Our failure to successfully protect our trademarks could diminish the value and efficacy of our brand recognition and could cause customer confusion, which could have a material adverse effect on our business, financial condition and results of operations.</w:t>
      </w:r>
    </w:p>
    <w:p>
      <w:pPr>
        <w:spacing w:after="0" w:line="158"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Fluctuations in comparable store sales and results of operations, including fluctuations on a quarterly basis, could cause our business performance to decline substantially.</w:t>
      </w:r>
    </w:p>
    <w:p>
      <w:pPr>
        <w:spacing w:after="0" w:line="75"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Our results of operations have fluctuated in the past, including on a quarterly basis, and can be expected to continue to fluctuate in the future.</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Our comparable store sales and results of operations are affected by a variety of factors, including:</w:t>
      </w:r>
    </w:p>
    <w:p>
      <w:pPr>
        <w:spacing w:after="0" w:line="117" w:lineRule="exact"/>
        <w:rPr>
          <w:sz w:val="20"/>
          <w:szCs w:val="20"/>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and regional economic trends in the United States;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gasoline prices;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pricing;</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timing of promotional and advertising efforts;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holidays or seasonal periods;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weather.</w:t>
      </w:r>
    </w:p>
    <w:p>
      <w:pPr>
        <w:spacing w:after="0" w:line="117"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If our future comparable store sales fail to meet expectations, then our cash flow and profitability could decline substantially, which could have a material adverse effect on our business, financial condition and results of operations.</w:t>
      </w:r>
    </w:p>
    <w:p>
      <w:pPr>
        <w:spacing w:after="0" w:line="157" w:lineRule="exact"/>
        <w:rPr>
          <w:sz w:val="20"/>
          <w:szCs w:val="20"/>
          <w:color w:val="auto"/>
        </w:rPr>
      </w:pPr>
    </w:p>
    <w:p>
      <w:pPr>
        <w:jc w:val="both"/>
        <w:ind w:left="7"/>
        <w:spacing w:after="0" w:line="235" w:lineRule="auto"/>
        <w:rPr>
          <w:sz w:val="20"/>
          <w:szCs w:val="20"/>
          <w:color w:val="auto"/>
        </w:rPr>
      </w:pPr>
      <w:r>
        <w:rPr>
          <w:rFonts w:ascii="Arial" w:cs="Arial" w:eastAsia="Arial" w:hAnsi="Arial"/>
          <w:sz w:val="18"/>
          <w:szCs w:val="18"/>
          <w:b w:val="1"/>
          <w:bCs w:val="1"/>
          <w:i w:val="1"/>
          <w:iCs w:val="1"/>
          <w:color w:val="auto"/>
        </w:rPr>
        <w:t>We rely on manufacturers in foreign countries for merchandise and a significant amount of our domestically-purchased merchandise is manufactured abroad. Our business may be materially adversely affected by risks associated with international trade.</w:t>
      </w:r>
    </w:p>
    <w:p>
      <w:pPr>
        <w:spacing w:after="0" w:line="81" w:lineRule="exact"/>
        <w:rPr>
          <w:sz w:val="20"/>
          <w:szCs w:val="20"/>
          <w:color w:val="auto"/>
        </w:rPr>
      </w:pPr>
    </w:p>
    <w:p>
      <w:pPr>
        <w:jc w:val="both"/>
        <w:ind w:left="7"/>
        <w:spacing w:after="0" w:line="287" w:lineRule="auto"/>
        <w:rPr>
          <w:sz w:val="20"/>
          <w:szCs w:val="20"/>
          <w:color w:val="auto"/>
        </w:rPr>
      </w:pPr>
      <w:r>
        <w:rPr>
          <w:rFonts w:ascii="Arial" w:cs="Arial" w:eastAsia="Arial" w:hAnsi="Arial"/>
          <w:sz w:val="16"/>
          <w:szCs w:val="16"/>
          <w:color w:val="auto"/>
        </w:rPr>
        <w:t>We purchase merchandise directly from suppliers outside of the United States. In 2018, substantially all of our private label inventory purchases were direct imports. Our direct imports represented approximately 20% at cost of our total merchandise purchases in 2018. Additionally, a significant amount of our domestically-purchased merchandise is manufactured abroad. Our ability to identify qualified suppliers and to access products in a timely and efficient manner is a significant challenge, especially with respect to goods sourced outside of North America. Global sourcing and foreign trade involve numerous factors and uncertainties beyond our control, including possible changes to U.S. trade policy, increased shipping costs, the timing of shipments, increased import duties, more restrictive quotas, loss of most favored nation trading status, currency, work stoppages, transportation delays, port of entry issues, economic uncertainties such as inflation, foreign government regulations, political unrest, natural disasters, war, terrorism, trade restrictions, political instability, the financial stability of vendors, merchandise quality issues, and tariffs. Moreover, negative press or reports about internationally manufactured products may sway public opinion, and thus customer confidence, away from the products sold in our stores. These and other issues affecting our international vendors could have a material adverse effect on our business, financial condition and results of operations.</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We are subject to governmental regulations, procedures and requirements. A significant change in, or noncompliance with, these regulations could have a material adverse effect on our business, financial condition and results of operations.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routinely incur significant costs in complying with federal, state and local laws and regulations. The complexity of the regulatory environment in which we operate and the related cost of compliance are increasing due to expanding and additional legal and regulatory requirements and increased enforcement efforts. New laws or regulations, including those dealing with healthcare reform, product safety, consumer credit, privacy and information security and labor and employment, among others, or changes in existing laws and regulations, particularly those governing the sale of products and food safety and quality (including changes in labeling or disclosure requirements), federal or state wage requirements, employee rights, health care, social welfare or entitlement programs such as health insurance, paid leave programs, other changes in workplace regulation, and compliance with laws regarding public access to our stores, may result in significant added expenses or may require extensive system and operating changes that may be difficult to implement and/or could materially increase our cost of doing business. Untimely compliance or noncompliance with applicable regulations or untimely or incomplete execution of a required product recall can result in the imposition of penalties, including loss of licenses or significant fines or monetary penalties, class action litigation or other litigation, in addition to reputational damage. Additionally, changes in tax laws, the interpretation of existing laws, or our failure to sustain our reporting positions on examination could materially adversely affect our effective tax rate and could have a material adverse effect on our business, financial condition and results of operations.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Data protection requirements increase our operating costs and a breach in information privacy or other related risks could negatively impact our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access to, collect or maintain private or confidential information regarding our customers, associates and suppliers, as well as our business. The protection of our customer, associate, supplier and company data is critical to us. In recent years, there has been increasing regulation, enforcement and litigation activity in the area of privacy, data protection and information security in the United States and in various other countries, with the frequent imposition of new and changing requirements across the many states in which we conduct our business. For example, the European Union’s General Data Protection Regulation (“GDPR”), which went into effect on May 25, 2018, expands the scope of EU data protection law to all foreign companies processing personal data of EU residents and imposes a strict data protection compliance regime with significant monetary penalties. The state of California recently passed the California Consumer Privacy Act of 2018 (“CCPA”), which will go into effect on January 1, 2020. The CCPA is expected to impose additional data protection obligations on companies doing business in California and provides for substantial fines for non-compliance and, in some cases, a private right of action to consumers who are victims of data breaches. Complying with the GDPR, the CCPA and similar emerging and changing privacy, data protection and information security requirements may cause us to incur substantial costs or compliance risks due to, among other things, system changes and the development of new processes and business initiatives. Our failure to comply with privacy, data protection and information security laws could result in potentially significant regulatory and/or governmental investigations and/or actions, litigation, fines, sanctions, ongoing regulatory monitoring and customer attrition.</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our customers have a high expectation that we will adequately protect their personal information from cyber-attack or other security breaches. We have procedures in place to evaluate the integrity of our systems, and to safeguard such data and information. However, we may be unable to effectively anticipate attacks to or breaches of our security systems or implement adequate preventative measures. A breach of customer, employee, supplier, or company data could attract a substantial amount of negative media attention, damage our customer and suppler relationships and our reputation, and result in lost sales, fines and/or lawsuits, any of which could have a material adverse effect on our business, financial condition and results of operations.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Any disruptions to our information technology systems or breaches of our network security could disrupt or interrupt our operations, compromise our reputation, expose us to litigation, government enforcement actions and costly response measures and could have a material adverse effect on our business, financial condition and results of operations.</w:t>
      </w:r>
    </w:p>
    <w:p>
      <w:pPr>
        <w:spacing w:after="0" w:line="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rely on the integrity, security and successful functioning of our information technology systems and network infrastructure across our operations, including point-of-sale processing at our stores. In connection with sales, we transmit encrypted confidential credit and debit card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2018, we are compliant with the Payment Card Industry Data Security Standard (the “PCI Standard”) issued by the Payment Card Industry Security Standards Council. However, there can be no assurance that in the future we will be able to operate our facilities and our customer service and sales operations in accordance with PCI or other industry recommended or contractually required practices. We expect to incur additional expenses, and the time and effort of our information technology staff, to maintain PCI compliance. Even though we are compliant with such standards, we still may not be able to prevent or timely detect security breaches.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 increasingly significant portion of our sales depends on the continuing operation of our information technology and communications systems, including, but not limited to, our point-of-sale system and our credit card processing systems. Our information technology, communication systems and electronic data may be vulnerable to damage or interruption from computer viruses, ransomware attacks, loss of data, unauthorized data breaches, usage errors by our associates or our contractors or other attempts to harm our systems, including cyber-security attacks or other breaches of cardholder data, earthquakes, acts of war or terrorist attacks, floods, fires, tornadoes, hurricanes, power loss and outages, computer and telecommunications failures. Some of our systems are not fully redundant, and our disaster recovery planning cannot account for all eventualities. The occurrence of intentional sabotage, unauthorized access, natural disaster, or other unanticipated problems could result in lengthy interruptions in our service. Any errors or vulnerabilities in our systems, or damage to or failure of our systems, could result in interruptions in our services, non-compliance with certain regulations, substantial remediation costs, and liability for lost or stolen information, any of which could have a material adverse effect on our business, financial condition and results of operations.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 party vendors. We rely extensively on our information technology systems to process transactions, summarize results and manage our business. Additionally, because we accept debit and credit cards for payment, we are subject to the PCI Standard, which contains compliance guidelines with regard to our security surrounding the physical and electronic storage, processing and transmission of cardholder data. We are in compliance with the PCI Standard as of the end of 2018, and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information technology systems are damaged or cease to function properly, we may have to make a significant investment to fix or replace them. If there are amendments to the PCI Standard, the cost of re-compliance could also be substantial and we may suffer loss of critical data and interruptions or delays in our operations as a result. In addition, we may have to upgrade our existing information technology systems from time to time in order for such systems to withstand the increasing needs of our expanding business. Any material interruption experienced by our information technology systems could have a material adverse effect on our business, financial condition and results of operations. Costs and potential interruptions associated with the implementation of new or upgraded systems and technology or with maintenance or adequate support of our existing systems could disrupt or reduce the efficiency of our business.</w:t>
      </w:r>
    </w:p>
    <w:p>
      <w:pPr>
        <w:spacing w:after="0" w:line="179"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color w:val="auto"/>
        </w:rPr>
        <w:t>Because our business is seasonal, with the highest volume of net sales during the holiday season, adverse events during our fourth fiscal quarter could materially adversely affect our business, operations, cash flow and financial condition.</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recognize our highest volume of net sales in connection with the holiday sales season, which occurs in the fourth quarter of our fiscal year. In anticipation of the holiday sales season, we purchase substantial amounts of seasonal inventory and hire many part-time associates. Because a significant percentage of our net sales and operating income are generated in our fourth fiscal quarter, we have limited ability to compensate for shortfalls in our fourth fiscal quarter sales or earnings by changing our operations or strategies in other fiscal quarters. Adverse events, such as deteriorating economic conditions, higher unemployment, higher gas prices, public transportation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disruptions, or unanticipated adverse weather conditions could result in lower than planned sales during the holiday sales season. If our fourth fiscal quarter sales results were substantially below expectations, we would realize less cash from operations, and may be forced to mark down our merchandise, especially our seasonal merchandise, which could have a material adverse effect on our business, financial condition and results of operations.</w:t>
      </w:r>
    </w:p>
    <w:p>
      <w:pPr>
        <w:spacing w:after="0" w:line="17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The cost of compliance with product safety regulations and risks related to product liability claims and product recalls could damage our reputation, increase our cost of doing business and could have a material adverse effect on our business, financial condition and results of operations.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New federal or state legislation, including new product safety laws and regulations, may negatively impact our operations. Future changes in product safety legislation or regulations may lead to product recalls and the disposal or write-off of merchandise. While we work to comply in all material respects with applicable legislation and regulations, and to execute product recalls in a timely manner, if our merchandise, including food and consumable products and flooring, does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 We also purchase a material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Furthermore, customers have asserted claims, and may in the future assert claims, that they have sustained injuries from merchandise offered by us, and we may be subject to lawsuits relating to these claims. There is a risk that these claims may exceed, or fall outside the scope of, our insurance coverage. Even with adequate insurance and indemnification from third-party suppliers, such claims, even if unsuccessful or not fully pursued, could significantly damage our reputation and customer confidence in our products. If this occurs, it may be difficult for us to regain lost sales,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litigation risks from customers, associates and other third parties in the ordinary course of business.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the risk of litigation by customers, current and former associates, suppliers, stockholders, intellectual property rights holders, government agencies and others through private actions, class actions, collective actions, administrative proceedings, regulatory actions, or other litigation. From time to time, such lawsuits are filed against us and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any such lawsuits may be significant and may negatively affect our operating results if changes to our business operations are required. There may also be negative publicity associated with litigation that could decrease customer acceptance of merchandise offerings, regardless of whether the allegations are valid or whether we are ultimately found liable. As a result, litigation may adversely affect our business, financial condition, results of operations or liquidity.</w:t>
      </w:r>
    </w:p>
    <w:p>
      <w:pPr>
        <w:spacing w:after="0" w:line="181" w:lineRule="exact"/>
        <w:rPr>
          <w:sz w:val="20"/>
          <w:szCs w:val="20"/>
          <w:color w:val="auto"/>
        </w:rPr>
      </w:pPr>
    </w:p>
    <w:p>
      <w:pPr>
        <w:jc w:val="both"/>
        <w:spacing w:after="0" w:line="343" w:lineRule="auto"/>
        <w:rPr>
          <w:sz w:val="20"/>
          <w:szCs w:val="20"/>
          <w:color w:val="auto"/>
        </w:rPr>
      </w:pPr>
      <w:r>
        <w:rPr>
          <w:rFonts w:ascii="Arial" w:cs="Arial" w:eastAsia="Arial" w:hAnsi="Arial"/>
          <w:sz w:val="15"/>
          <w:szCs w:val="15"/>
          <w:b w:val="1"/>
          <w:bCs w:val="1"/>
          <w:i w:val="1"/>
          <w:iCs w:val="1"/>
          <w:color w:val="auto"/>
        </w:rPr>
        <w:t>Natural disasters, whether or not caused by climate change, unusual weather conditions, epidemic outbreaks, terrorist acts and political events could disrupt business and result in lower sales and otherwise adversely affect our financial performance.</w:t>
      </w:r>
    </w:p>
    <w:p>
      <w:pPr>
        <w:spacing w:after="0" w:line="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occurrence of one or more natural disasters, such as tornadoes, hurricanes, fires, floods and earthquakes, unusual weather conditions, epidemic outbreaks, terrorist attacks or disruptive political events in certain regions where our stores are located could adversely affect our business and result in lower sales. Severe weather, such as heavy snowfall or extreme temperatures, may discourage or restrict customers in a particular region from traveling to our stores, thereby reducing our sales and profitability. If severe weather conditions occur during the second or fourth quarter of our fiscal year, the adverse impact to our sales and profitability could be even greater than at other times during the year because we generate a larger portion of our sales and profits during these periods. Natural disasters, including tornadoes, hurricanes, floods and earthquakes, may damage our stores or other operations, which may materially adversely affect our consolidated financial results. To the extent these events also impact one or more of our key suppliers or result in the closure of our centralized distribution centers or our corporate headquarters, we may be unable to maintain inventory balances, maintain delivery schedules or provide other support functions to our stores. This could have a sustained material adverse effect on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7"/>
        <w:spacing w:after="0"/>
        <w:rPr>
          <w:sz w:val="20"/>
          <w:szCs w:val="20"/>
          <w:color w:val="auto"/>
        </w:rPr>
      </w:pPr>
      <w:r>
        <w:rPr>
          <w:rFonts w:ascii="Arial" w:cs="Arial" w:eastAsia="Arial" w:hAnsi="Arial"/>
          <w:sz w:val="17"/>
          <w:szCs w:val="17"/>
          <w:b w:val="1"/>
          <w:bCs w:val="1"/>
          <w:i w:val="1"/>
          <w:iCs w:val="1"/>
          <w:color w:val="auto"/>
        </w:rPr>
        <w:t>Our current insurance program may expose us to unexpected costs and negatively affect our financial performance.</w:t>
      </w:r>
    </w:p>
    <w:p>
      <w:pPr>
        <w:spacing w:after="0" w:line="115" w:lineRule="exact"/>
        <w:rPr>
          <w:sz w:val="20"/>
          <w:szCs w:val="20"/>
          <w:color w:val="auto"/>
        </w:rPr>
      </w:pPr>
    </w:p>
    <w:p>
      <w:pPr>
        <w:jc w:val="both"/>
        <w:ind w:left="7"/>
        <w:spacing w:after="0" w:line="285" w:lineRule="auto"/>
        <w:rPr>
          <w:sz w:val="20"/>
          <w:szCs w:val="20"/>
          <w:color w:val="auto"/>
        </w:rPr>
      </w:pPr>
      <w:r>
        <w:rPr>
          <w:rFonts w:ascii="Arial" w:cs="Arial" w:eastAsia="Arial" w:hAnsi="Arial"/>
          <w:sz w:val="16"/>
          <w:szCs w:val="16"/>
          <w:color w:val="auto"/>
        </w:rPr>
        <w:t>Our insurance coverage reflects deductibles, self-insured retentions, limits of liability and similar provisions that we believe are prudent based on the dispersion of our operations. However, there are types of losses we may incur but against which we cannot be insured or which we believe are not economically reasonable to insure, such as losses due to acts of war, employee and certain other crime, wage and hour and certain other employment-related claims, public accommodation claims, class actions, and some natural disasters. If we incur these losses and they are material, our business could suffer. Certain material events may result in sizable losses for the insurance industry and adversely impact the availability of adequate insurance coverage or result in excessive premium increases. To offset negative insurance market trends, we may elect to self-insure, accept higher deductibles or reduce the amount of coverage in response to these market changes. In addition, we self-insure a significant portion of expected losses under our workers’ compensation, general liability and group health insurance programs. Unanticipated changes in any applicable actuarial assumptions and management estimates underlying our recorded liabilities for these losses, including expected increases in medical and indemnity costs, could result in materially different expenses than expected under these programs, which could have a material adverse effect on our results of operations and financial condition. Although we continue to maintain property insurance for catastrophic events at our store support center, distribution centers and stores, we are not self-insured for other property losses. In addition, because of ongoing changes in healthcare law, among other things, we may experience an increase in participation in our group health insurance programs, which may lead to a greater number of medical claims. While we have coverage for some cyber-related incidents, the nature and scope of any potential attack or breach may result in substantial costs that would exceed the scope of coverage or limits of coverage. If we experience a greater number of these losses than we anticipate, it could have a material adverse effect on our business, financial condition and results of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127"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ensure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80" w:lineRule="exact"/>
        <w:rPr>
          <w:sz w:val="20"/>
          <w:szCs w:val="20"/>
          <w:color w:val="auto"/>
        </w:rPr>
      </w:pPr>
    </w:p>
    <w:p>
      <w:pPr>
        <w:jc w:val="both"/>
        <w:ind w:left="7"/>
        <w:spacing w:after="0" w:line="235" w:lineRule="auto"/>
        <w:rPr>
          <w:sz w:val="20"/>
          <w:szCs w:val="20"/>
          <w:color w:val="auto"/>
        </w:rPr>
      </w:pPr>
      <w:r>
        <w:rPr>
          <w:rFonts w:ascii="Arial" w:cs="Arial" w:eastAsia="Arial" w:hAnsi="Arial"/>
          <w:sz w:val="18"/>
          <w:szCs w:val="18"/>
          <w:b w:val="1"/>
          <w:bCs w:val="1"/>
          <w:i w:val="1"/>
          <w:iCs w:val="1"/>
          <w:color w:val="auto"/>
        </w:rPr>
        <w:t>Indebtedness may limit our ability to invest in the ongoing needs of our business and if we are unable to comply with our financial covenants, it could have a material adverse effect on our liquidity and our business, financial condition and results of operations.</w:t>
      </w:r>
    </w:p>
    <w:p>
      <w:pPr>
        <w:spacing w:after="0" w:line="81"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As of February 2, 2019, we had no outstanding borrowings on the senior secured term loan facility (the “Term Loan Facility”) and no outstanding borrowings under the revolving credit facility (the “Revolving Credit Facility,” and together with the Term Loan Facility, the “Credit Facilities”), with $98.9 million of borrowing availability. We may, from time to time, incur additional indebtedness.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agreements governing our Credit Facilities place certain conditions on us, including that they:</w:t>
      </w:r>
    </w:p>
    <w:p>
      <w:pPr>
        <w:spacing w:after="0" w:line="117" w:lineRule="exact"/>
        <w:rPr>
          <w:sz w:val="20"/>
          <w:szCs w:val="20"/>
          <w:color w:val="auto"/>
        </w:rPr>
      </w:pPr>
    </w:p>
    <w:p>
      <w:pPr>
        <w:ind w:left="347" w:hanging="347"/>
        <w:spacing w:after="0"/>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or industry conditions;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or the industries in which we operate;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us more vulnerable to increases in interest rates, as borrowings under our Credit Facilities are at variable rates;</w:t>
      </w:r>
    </w:p>
    <w:p>
      <w:pPr>
        <w:spacing w:after="0" w:line="128" w:lineRule="exact"/>
        <w:rPr>
          <w:rFonts w:ascii="Arial" w:cs="Arial" w:eastAsia="Arial" w:hAnsi="Arial"/>
          <w:sz w:val="17"/>
          <w:szCs w:val="17"/>
          <w:color w:val="auto"/>
        </w:rPr>
      </w:pPr>
    </w:p>
    <w:p>
      <w:pPr>
        <w:ind w:left="347" w:hanging="347"/>
        <w:spacing w:after="0"/>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or other purposes;</w:t>
      </w:r>
    </w:p>
    <w:p>
      <w:pPr>
        <w:spacing w:after="0" w:line="117" w:lineRule="exact"/>
        <w:rPr>
          <w:rFonts w:ascii="Arial" w:cs="Arial" w:eastAsia="Arial" w:hAnsi="Arial"/>
          <w:sz w:val="18"/>
          <w:szCs w:val="18"/>
          <w:color w:val="auto"/>
        </w:rPr>
      </w:pPr>
    </w:p>
    <w:p>
      <w:pPr>
        <w:ind w:left="347" w:right="20" w:hanging="347"/>
        <w:spacing w:after="0" w:line="308" w:lineRule="auto"/>
        <w:tabs>
          <w:tab w:leader="none" w:pos="3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us to utilize our cash flow from operations to make payments on indebtedness, reducing the availability of our cash flow to fund working capital, capital expenditures, development activity and other general corporate purposes; and</w:t>
      </w:r>
    </w:p>
    <w:p>
      <w:pPr>
        <w:spacing w:after="0" w:line="38" w:lineRule="exact"/>
        <w:rPr>
          <w:rFonts w:ascii="Arial" w:cs="Arial" w:eastAsia="Arial" w:hAnsi="Arial"/>
          <w:sz w:val="17"/>
          <w:szCs w:val="17"/>
          <w:color w:val="auto"/>
        </w:rPr>
      </w:pPr>
    </w:p>
    <w:p>
      <w:pPr>
        <w:ind w:left="347" w:hanging="347"/>
        <w:spacing w:after="0"/>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w:t>
      </w:r>
    </w:p>
    <w:p>
      <w:pPr>
        <w:spacing w:after="0" w:line="117" w:lineRule="exact"/>
        <w:rPr>
          <w:sz w:val="20"/>
          <w:szCs w:val="20"/>
          <w:color w:val="auto"/>
        </w:rPr>
      </w:pPr>
    </w:p>
    <w:p>
      <w:pPr>
        <w:ind w:left="7"/>
        <w:spacing w:after="0" w:line="277" w:lineRule="auto"/>
        <w:rPr>
          <w:sz w:val="20"/>
          <w:szCs w:val="20"/>
          <w:color w:val="auto"/>
        </w:rPr>
      </w:pPr>
      <w:r>
        <w:rPr>
          <w:rFonts w:ascii="Arial" w:cs="Arial" w:eastAsia="Arial" w:hAnsi="Arial"/>
          <w:sz w:val="18"/>
          <w:szCs w:val="18"/>
          <w:color w:val="auto"/>
        </w:rPr>
        <w:t>Our Credit Facilities place certain limitations on our ability to incur additional indebtedness. However, subject to the qualifications and exceptions in our Credit Facilities, we may be permitted to incur substantial additional</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3" w:name="page24"/>
    <w:bookmarkEnd w:id="2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57" w:lineRule="auto"/>
        <w:rPr>
          <w:sz w:val="20"/>
          <w:szCs w:val="20"/>
          <w:color w:val="auto"/>
        </w:rPr>
      </w:pPr>
      <w:r>
        <w:rPr>
          <w:rFonts w:ascii="Arial" w:cs="Arial" w:eastAsia="Arial" w:hAnsi="Arial"/>
          <w:sz w:val="18"/>
          <w:szCs w:val="18"/>
          <w:color w:val="auto"/>
        </w:rPr>
        <w:t>indebtedness and may incur obligations that do not constitute indebtedness under the terms of the Credit Facilities. Our Credit Facilities also place certain limitations on, among other things, our ability to enter into certain types of transactions, financing arrangements and investments, to make certain changes to our capital structure and to guarantee certain indebtedness. Our Credit Facilities also place certain restrictions on the payment of dividends and distributions and certain management fees. These restrictions limit or prohibit, among other things, our ability to:</w:t>
      </w:r>
    </w:p>
    <w:p>
      <w:pPr>
        <w:spacing w:after="0" w:line="80" w:lineRule="exact"/>
        <w:rPr>
          <w:sz w:val="20"/>
          <w:szCs w:val="20"/>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on, redeem or repurchase our stock or make other distributions;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stock in our subsidiaries;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acquisitions or investments;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or sell certain assets or merge or consolidate with or into other companies;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certain payments or prepayments of indebtedness subordinated to our obligations under our Credit Facilities; and</w:t>
      </w:r>
    </w:p>
    <w:p>
      <w:pPr>
        <w:spacing w:after="0" w:line="128" w:lineRule="exact"/>
        <w:rPr>
          <w:rFonts w:ascii="Arial" w:cs="Arial" w:eastAsia="Arial" w:hAnsi="Arial"/>
          <w:sz w:val="17"/>
          <w:szCs w:val="17"/>
          <w:color w:val="auto"/>
        </w:rPr>
      </w:pPr>
    </w:p>
    <w:p>
      <w:pPr>
        <w:ind w:left="347" w:hanging="347"/>
        <w:spacing w:after="0"/>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Failure to comply with certain covenants or the occurrence of a change of control under our Credit Facilities could result in the acceleration of our obligations under the Credit Facilities, which would materially adversely affect our liquidity, capital resources and results of operations.</w:t>
      </w:r>
    </w:p>
    <w:p>
      <w:pPr>
        <w:spacing w:after="0" w:line="73"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Under certain circumstances, our Credit Facilities require us to comply with certain financial covenants regarding our fixed charge coverage ratio and total leverage ratio. Changes with respect to the total leverage ratio may increase our interest rate and failure to comply with each covenant could result in a default and an acceleration of our obligations under the Credit Facilities, which could have a material adverse effect on our liquidity and our business, financial condition and results of operations. See “Item 7, Management’s Discussion and Analysis of Financial Condition and Results of Operations—Liquidity and Capital Resources— Credit Facilities.”</w:t>
      </w:r>
    </w:p>
    <w:p>
      <w:pPr>
        <w:spacing w:after="0" w:line="180"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debt service obligations, which could have a material adverse effect on our business, financial condition and results of operations.</w:t>
      </w:r>
    </w:p>
    <w:p>
      <w:pPr>
        <w:spacing w:after="0" w:line="75" w:lineRule="exact"/>
        <w:rPr>
          <w:sz w:val="20"/>
          <w:szCs w:val="20"/>
          <w:color w:val="auto"/>
        </w:rPr>
      </w:pPr>
    </w:p>
    <w:p>
      <w:pPr>
        <w:jc w:val="both"/>
        <w:ind w:left="7"/>
        <w:spacing w:after="0" w:line="269" w:lineRule="auto"/>
        <w:rPr>
          <w:sz w:val="20"/>
          <w:szCs w:val="20"/>
          <w:color w:val="auto"/>
        </w:rPr>
      </w:pPr>
      <w:r>
        <w:rPr>
          <w:rFonts w:ascii="Arial" w:cs="Arial" w:eastAsia="Arial" w:hAnsi="Arial"/>
          <w:sz w:val="17"/>
          <w:szCs w:val="17"/>
          <w:color w:val="auto"/>
        </w:rPr>
        <w:t>Our ability to make principal and interest payments on and to refinance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 If we cannot generate sufficient cash flow from operations to make scheduled principal and interest payments in the future, we may need to refinance all or a portion of indebtedness on or before maturity, sell assets, delay capital expenditures or seek additional equity. The terms of future debt agreements, including our Credit Facilities, may also restrict us from affecting any of these alternatives. Further, changes in the credit and capital markets, including market disruptions and interest rate fluctuations, may increase the cost of financing, make it more difficult to obtain favorable terms, or restrict our access to these sources of future liquidity. If we are unable to refinance indebtedness on commercially reasonable terms or at all or to effect any other action relating to indebtedness on satisfactory terms or at all, it could have a material adverse effect on our business, financial condition and results of operations.</w:t>
      </w:r>
    </w:p>
    <w:p>
      <w:pPr>
        <w:spacing w:after="0" w:line="166" w:lineRule="exact"/>
        <w:rPr>
          <w:sz w:val="20"/>
          <w:szCs w:val="20"/>
          <w:color w:val="auto"/>
        </w:rPr>
      </w:pPr>
    </w:p>
    <w:p>
      <w:pPr>
        <w:jc w:val="both"/>
        <w:ind w:left="7"/>
        <w:spacing w:after="0" w:line="246" w:lineRule="auto"/>
        <w:rPr>
          <w:sz w:val="20"/>
          <w:szCs w:val="20"/>
          <w:color w:val="auto"/>
        </w:rPr>
      </w:pPr>
      <w:r>
        <w:rPr>
          <w:rFonts w:ascii="Arial" w:cs="Arial" w:eastAsia="Arial" w:hAnsi="Arial"/>
          <w:sz w:val="18"/>
          <w:szCs w:val="18"/>
          <w:b w:val="1"/>
          <w:bCs w:val="1"/>
          <w:i w:val="1"/>
          <w:iCs w:val="1"/>
          <w:color w:val="auto"/>
        </w:rPr>
        <w:t>If our estimates or judgments relating to our significant accounting policies prove to be incorrect, our operating results could be adversely affected.</w:t>
      </w:r>
    </w:p>
    <w:p>
      <w:pPr>
        <w:spacing w:after="0" w:line="75" w:lineRule="exact"/>
        <w:rPr>
          <w:sz w:val="20"/>
          <w:szCs w:val="20"/>
          <w:color w:val="auto"/>
        </w:rPr>
      </w:pPr>
    </w:p>
    <w:p>
      <w:pPr>
        <w:jc w:val="both"/>
        <w:ind w:left="7"/>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accompanying consolidated financial statements and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Changes to accounting rules or regulations could have a material adverse effect on our business, financial condition and results of operations.</w:t>
      </w:r>
    </w:p>
    <w:p>
      <w:pPr>
        <w:spacing w:after="0" w:line="75"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Future changes to accounting rules or regulations could have a material adverse effect on our business, financial condition and results of operations.</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As a public company, our management is required to devote substantial time to compliance initiatives.</w:t>
      </w:r>
    </w:p>
    <w:p>
      <w:pPr>
        <w:spacing w:after="0" w:line="117" w:lineRule="exact"/>
        <w:rPr>
          <w:sz w:val="20"/>
          <w:szCs w:val="20"/>
          <w:color w:val="auto"/>
        </w:rPr>
      </w:pPr>
    </w:p>
    <w:p>
      <w:pPr>
        <w:jc w:val="both"/>
        <w:ind w:left="7"/>
        <w:spacing w:after="0" w:line="271" w:lineRule="auto"/>
        <w:rPr>
          <w:sz w:val="20"/>
          <w:szCs w:val="20"/>
          <w:color w:val="auto"/>
        </w:rPr>
      </w:pPr>
      <w:r>
        <w:rPr>
          <w:rFonts w:ascii="Arial" w:cs="Arial" w:eastAsia="Arial" w:hAnsi="Arial"/>
          <w:sz w:val="17"/>
          <w:szCs w:val="17"/>
          <w:color w:val="auto"/>
        </w:rPr>
        <w:t>The Sarbanes-Oxley Act and rules implemented by the SEC and the NASDAQ Stock Market LLC (“NASDAQ”) have imposed various requirements on public companies, including establishment and maintenance of effective disclosure and financial controls and corporate governance practices. Implementing and maintaining internal controls is time consuming and costly.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If we are unable to satisfy our obligations as a public company, we could be subject to delisting of our common stock, fines, sanctions and other regulatory action and potentially civil litigation.</w:t>
      </w:r>
    </w:p>
    <w:p>
      <w:pPr>
        <w:spacing w:after="0" w:line="165"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b w:val="1"/>
          <w:bCs w:val="1"/>
          <w:i w:val="1"/>
          <w:iCs w:val="1"/>
          <w:color w:val="auto"/>
        </w:rPr>
        <w:t>Our Chief Executive Officer owns a substantial percentage of our outstanding common stock and his interests may be different from or conflict with those of our other stockholders.</w:t>
      </w:r>
    </w:p>
    <w:p>
      <w:pPr>
        <w:spacing w:after="0" w:line="75" w:lineRule="exact"/>
        <w:rPr>
          <w:sz w:val="20"/>
          <w:szCs w:val="20"/>
          <w:color w:val="auto"/>
        </w:rPr>
      </w:pPr>
    </w:p>
    <w:p>
      <w:pPr>
        <w:jc w:val="both"/>
        <w:ind w:left="7"/>
        <w:spacing w:after="0" w:line="257" w:lineRule="auto"/>
        <w:rPr>
          <w:sz w:val="20"/>
          <w:szCs w:val="20"/>
          <w:color w:val="auto"/>
        </w:rPr>
      </w:pPr>
      <w:r>
        <w:rPr>
          <w:rFonts w:ascii="Arial" w:cs="Arial" w:eastAsia="Arial" w:hAnsi="Arial"/>
          <w:sz w:val="18"/>
          <w:szCs w:val="18"/>
          <w:color w:val="auto"/>
        </w:rPr>
        <w:t>As of February 2, 2019, Mark Butler, our co-founder, Chairman, President and Chief Executive Officer, beneficially owns 13.6% of our outstanding common stock. Accordingly, Mr. Butler is able to exert a significant degree of influence over our management and affairs and over matters requiring stockholder approval, including the election of directors, a merger, consolidation or sale of all or substantially all of our assets, and any other significant transaction. Our principal stockholder’s interests might not always coincide with our interests or the interests of our other stockholders.</w:t>
      </w:r>
    </w:p>
    <w:p>
      <w:pPr>
        <w:spacing w:after="0" w:line="175" w:lineRule="exact"/>
        <w:rPr>
          <w:sz w:val="20"/>
          <w:szCs w:val="20"/>
          <w:color w:val="auto"/>
        </w:rPr>
      </w:pPr>
    </w:p>
    <w:p>
      <w:pPr>
        <w:jc w:val="both"/>
        <w:ind w:left="7"/>
        <w:spacing w:after="0" w:line="235" w:lineRule="auto"/>
        <w:rPr>
          <w:sz w:val="20"/>
          <w:szCs w:val="20"/>
          <w:color w:val="auto"/>
        </w:rPr>
      </w:pPr>
      <w:r>
        <w:rPr>
          <w:rFonts w:ascii="Arial" w:cs="Arial" w:eastAsia="Arial" w:hAnsi="Arial"/>
          <w:sz w:val="18"/>
          <w:szCs w:val="18"/>
          <w:b w:val="1"/>
          <w:bCs w:val="1"/>
          <w:i w:val="1"/>
          <w:iCs w:val="1"/>
          <w:color w:val="auto"/>
        </w:rPr>
        <w:t>Anti-takeover provisions in our second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81"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Provisions in our second amended and restated certificate of incorporation and amended and restated bylaws may have the effect of delaying or preventing a change of control or changes in our management. Our second amended and restated certificate of incorporation and amended and restated bylaws include provisions that:</w:t>
      </w:r>
    </w:p>
    <w:p>
      <w:pPr>
        <w:spacing w:after="0" w:line="73" w:lineRule="exact"/>
        <w:rPr>
          <w:sz w:val="20"/>
          <w:szCs w:val="20"/>
          <w:color w:val="auto"/>
        </w:rPr>
      </w:pPr>
    </w:p>
    <w:p>
      <w:pPr>
        <w:ind w:left="347" w:right="20" w:hanging="347"/>
        <w:spacing w:after="0" w:line="277"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to issue, without further action by the stockholders, up to 50,000,000 shares of undesignated preferred stock;</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certain exceptions, require that any action to be taken by our stockholders be effected at a duly called annual or special meeting and not by written consent;</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a majority of our Board or upon the request of the Chief Executive Officer;</w:t>
      </w:r>
    </w:p>
    <w:p>
      <w:pPr>
        <w:spacing w:after="0" w:line="62"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that our Board is divided into three classes, with each class serving three-year staggered terms;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our Board may be filled only by a majority of directors then in office, even though less than a quorum.</w:t>
      </w:r>
    </w:p>
    <w:p>
      <w:pPr>
        <w:spacing w:after="0" w:line="62"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is to some extent influenced by the research and reports that industry or securities analysts publish about us, our business and our industry. If no or few analysts commence coverage of us, the trading price of our stock could decrease. Even if we do obtain analyst coverage, if one or more analysts adversely change their recommendation regarding our shares or our competitors’ stock, our share price might decline. If one or more analysts cease coverage of us or fail to regularly publish reports on us, we might lose visibility in the financial markets, which, in turn, could cause our share price or trading volume to decline.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decrease significantly.</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substantial amounts of our common stock in the public market by our existing stockholders or upon the exercise of outstanding stock options or grant of stock options or restricted stock units in the future may cause the market price of our common stock to decrease significantly. As of February 2, 2019, we have an aggregate of 3,966,622 shares of common stock issuable upon exercise of outstanding options and the vesting of restricted stock units under the 2015 Equity Incentive Plan (the “2015 Plan” and together with the 2012 Equity Incentive Plan, the “Equity Plans”) (2,387,429 of which are fully vested).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6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Ollie’s Bargain Outlet Holdings, Inc. (“Holdings”) is a holding company and relies on dividends and other payments, advances and transfers of funds from its subsidiaries to meet its obligations and pay any dividends.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Holdings has no direct operations and no significant assets other than ownership of 100% of the capital stock of its subsidiaries. Because Holdings conducts operations through subsidiaries, it depends on those entities for dividends and other payments to generate the funds necessary to meet financial obligations and to pay any dividends with respect to its common stock. Legal and contractual restrictions in the Credit Facilities and other agreements which may govern future indebtedness of subsidiaries, as well as the financial condition and operating requirements of subsidiaries, may limit its ability to obtain cash from subsidiaries. The earnings from, or other available assets of, subsidiaries might not be sufficient to pay dividends or make distributions or loans to enable Holdings to pay any dividends on its common stock or other obligations. Any of the foregoing could materially and adversely affect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continued operation and expansion of our business will require substantial funding. We do not anticipate that we will pay any dividends to holders of our common stock for the foreseeable future. Any payment of cash dividends will be at the discretion of our Board and will depend on our financial condition, capital requirements, legal requirements, earnings and other factors. Our ability to pay dividends is restricted by the terms of our Credit Facilities and might be restricted by the terms of any indebtedness that we incur in the future. Accordingly, realization of any gain on our common stock will depend on the appreciation of the price of the shares of our common stock, which may never occur.</w:t>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the majority of our retail stores, often in second generation sites ranging in size from 22,000 to 50,000 square feet. Our corporate headquarters, located in Harrisburg, PA, is 28,128 square feet and is leased under an agreement that expires in February 2033, with options to renew for three successive five-year periods. Our corporate data center and additional office space is 14,107 square feet and is under an agreement that expires July 31, 2020, with an option to purchase or an option to renew for two successive two-year periods. Our 603,000 square foot distribution center located in York, PA is leased under an agreement that expires in March 2028 with options to renew for two successive five-year periods. Our 962,280 square foot distribution center in Commerce, GA is leased 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agreement that expires in April 2024 with options to renew for three successive five-year periods. In 2018, we acquired a 58-acre parcel of land in Lancaster, TX for the construction of our third distribution center. Construction of the planned 615,000 square foot facility has commenced and the building is expected to be operational by the first quarter of fiscal 2020. We anticipate investing a total of $45 million to $50 million in the project over the course of the construction period. As of February 2, 2019, there were 303 Ollie’s Bargain Outlet locations across 23 contiguous states in the eastern half of the United States.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OBO Ventures, Inc., a wholly owned subsidiary of Ollie’s, acquired a total of 12 former Toys “R” Us store sites as part of the ongoing real estate auctions for Toys “R” Us locations. The Company paid an aggregate of approximately $42 million for the store locations. The stores are located in states with existing Ollie’s Bargain Outlet stores. The Company expects to open these new store locations during its 2019 fiscal year.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 focused and disciplined approach to entering into lease arrangements. All leases are approved by our real estate committee, which is comprised of senior management and executive officers. Our leases generally have an initial term of approximately seven years with options to renew for three or five successive five-year periods and generally require us to pay a proportionate share of real estate taxes, insurance and common area or other charges.</w:t>
      </w:r>
    </w:p>
    <w:p>
      <w:pPr>
        <w:spacing w:after="0" w:line="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occasionally a party to legal actions arising in the ordinary course of our business, including employment-related claims and actions relating to intellectual property. None of these legal actions, many of which are covered by insurance, has had a material effect on us. Although as of the date of this annual report we are not a party to any material pending legal proceedings and are not aware of any material claims, litigation is inherently unpredictable. Therefore, we could incur judgments or enter into settlements that could have a material adverse effect on our business, financial condition or results of operations.</w:t>
      </w:r>
    </w:p>
    <w:p>
      <w:pPr>
        <w:spacing w:after="0" w:line="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880" w:right="800" w:hanging="890"/>
        <w:spacing w:after="0" w:line="282" w:lineRule="auto"/>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NASDAQ under the symbol “OLLI.” The following tables set forth for the periods indicated the high and low sales prices of our common stock on NASDAQ.</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50.65</w:t>
            </w: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77.50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62.00</w:t>
            </w:r>
          </w:p>
        </w:tc>
      </w:tr>
      <w:tr>
        <w:trPr>
          <w:trHeight w:val="256"/>
        </w:trPr>
        <w:tc>
          <w:tcPr>
            <w:tcW w:w="20" w:type="dxa"/>
            <w:vAlign w:val="bottom"/>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68.85</w:t>
            </w: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94.73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59.72</w:t>
            </w:r>
          </w:p>
        </w:tc>
      </w:tr>
      <w:tr>
        <w:trPr>
          <w:trHeight w:val="242"/>
        </w:trPr>
        <w:tc>
          <w:tcPr>
            <w:tcW w:w="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28.90</w:t>
            </w: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45.55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37.60</w:t>
            </w:r>
          </w:p>
        </w:tc>
      </w:tr>
      <w:tr>
        <w:trPr>
          <w:trHeight w:val="256"/>
        </w:trPr>
        <w:tc>
          <w:tcPr>
            <w:tcW w:w="20" w:type="dxa"/>
            <w:vAlign w:val="bottom"/>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41.31</w:t>
            </w: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42.36</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2019, we had approximately 400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set forth below compares the cumulative stockholder return on our common stock between July 16, 2015 (the first day of trading following our initial public offering (“IPO”)) and February 2, 2019 to the cumulative return of (i) the NASDAQ Composite Total Return index and (ii) the NASDAQ US Benchmark Retail Index over the same period. This graph assumes an initial investment of $100 on July 16, 2015 in our common stock, the NASDAQ Composite Total Return index and the NASDAQ US Benchmark Retail Index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62865</wp:posOffset>
            </wp:positionV>
            <wp:extent cx="4528185" cy="2538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281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8"/>
              </w:rPr>
              <w:t>7/16/15</w:t>
            </w:r>
          </w:p>
        </w:tc>
        <w:tc>
          <w:tcPr>
            <w:tcW w:w="180" w:type="dxa"/>
            <w:vAlign w:val="bottom"/>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1/30/16</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1/28/17</w:t>
            </w:r>
          </w:p>
        </w:tc>
        <w:tc>
          <w:tcPr>
            <w:tcW w:w="180" w:type="dxa"/>
            <w:vAlign w:val="bottom"/>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2/3/18</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2/2/19</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Ollie’s Bargain Outlet Holdings, Inc.</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254.14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375.18</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NASDAQ Global Market Composite Index</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78.42</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100.90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NASDAQ US Benchmark Retail Index</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135.34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shd w:val="clear" w:color="auto" w:fill="CCEEFF"/>
          </w:tcPr>
          <w:p>
            <w:pPr>
              <w:spacing w:after="0"/>
              <w:rPr>
                <w:sz w:val="22"/>
                <w:szCs w:val="22"/>
                <w:color w:val="auto"/>
              </w:rPr>
            </w:pP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common stock began trading on July 16, 2015. Since then, we have not declared any cash dividends nor do we expect to in the foreseeable future as we intend to retain our earnings to finance the development and growth of our business and operations.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Facilities contain a number of restrictive covenants that, among other things and subject to certain exceptions, restrict Ollie’s Bargain Outlet, Inc.’s and Ollie’s Holdings, Inc.’s (together the “Borrowers”) ability and the ability of their subsidiaries to pay dividends on our capital stock or redeem, repurchase or retire our capital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set forth Ollie’s Bargain Outlet Holdings, Inc.’s selected historical consolidated financial and other data for the periods ending on and as of the dates indicated. We derived the consolidated statement of income data and consolidated statement of cash flow data for 2018, 2017 and 2016 and the consolidated balance sheet data as of February 2, 2019 and February 3, 2018 from our audited consolidated financial statements and related notes thereto included elsewhere in this Annual Report on Form 10-K. We derived the consolidated statement of income data and consolidated statement of cash flow data for 2015 and 2014 and the consolidated balance sheet data as of January 28, 2017, January 30, 2016, and January 31, 2015 from our audited consolidated financial statements and related notes thereto not included in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Each of 2018, 2016, 2015, and 2014 consisted of 52-week periods. 2017 consisted of 53 weeks.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historical consolidated statement of income data, consolidated statement of cash flow data and consolidated balance sheet data presented in the following tables are not necessarily indicative of the results expected for 2019 or for any future period. You should read the information set forth below together with the consolidated financial statements and accompanying notes and the information under “Item 7, Management’s Discussion and Analysis of Financial Condition and Results of Operations” included elsewhere in this Annual Report on Form 10-K.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9"/>
          </w:tcPr>
          <w:p>
            <w:pPr>
              <w:jc w:val="right"/>
              <w:ind w:right="211"/>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 Data:</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1,241,377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1,077,032</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890,315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762,370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637,975</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743,726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645,385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529,904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459,506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384,465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497,651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360,411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302,864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253,510</w:t>
            </w:r>
          </w:p>
        </w:tc>
        <w:tc>
          <w:tcPr>
            <w:tcW w:w="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312,790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278,174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242,891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209,783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178,832</w:t>
            </w:r>
          </w:p>
        </w:tc>
        <w:tc>
          <w:tcPr>
            <w:tcW w:w="6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6,987</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162,054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135,756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102,194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79,572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62,781</w:t>
            </w:r>
          </w:p>
        </w:tc>
        <w:tc>
          <w:tcPr>
            <w:tcW w:w="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60" w:type="dxa"/>
            <w:vAlign w:val="bottom"/>
            <w:shd w:val="clear" w:color="auto" w:fill="CCEEFF"/>
          </w:tcPr>
          <w:p>
            <w:pPr>
              <w:spacing w:after="0"/>
              <w:rPr>
                <w:sz w:val="22"/>
                <w:szCs w:val="2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671</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43,678</w:t>
            </w:r>
          </w:p>
        </w:tc>
        <w:tc>
          <w:tcPr>
            <w:tcW w:w="60" w:type="dxa"/>
            <w:vAlign w:val="bottom"/>
            <w:shd w:val="clear" w:color="auto" w:fill="CCEEFF"/>
          </w:tcPr>
          <w:p>
            <w:pPr>
              <w:spacing w:after="0"/>
              <w:rPr>
                <w:sz w:val="21"/>
                <w:szCs w:val="21"/>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16,763</w:t>
            </w:r>
          </w:p>
        </w:tc>
        <w:tc>
          <w:tcPr>
            <w:tcW w:w="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127,594</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26,915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62,568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48,202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48,609</w:t>
            </w:r>
          </w:p>
        </w:tc>
        <w:tc>
          <w:tcPr>
            <w:tcW w:w="60" w:type="dxa"/>
            <w:vAlign w:val="bottom"/>
            <w:shd w:val="clear" w:color="auto" w:fill="CCEEFF"/>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Cash Flows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12"/>
          </w:tcPr>
          <w:p>
            <w:pPr>
              <w:jc w:val="center"/>
              <w:ind w:right="36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126,079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95,936</w:t>
            </w: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67,088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31,842</w:t>
            </w:r>
          </w:p>
        </w:tc>
        <w:tc>
          <w:tcPr>
            <w:tcW w:w="0" w:type="dxa"/>
            <w:vAlign w:val="bottom"/>
          </w:tcPr>
          <w:p>
            <w:pPr>
              <w:spacing w:after="0"/>
              <w:rPr>
                <w:sz w:val="1"/>
                <w:szCs w:val="1"/>
                <w:color w:val="auto"/>
              </w:rPr>
            </w:pPr>
          </w:p>
        </w:tc>
      </w:tr>
      <w:tr>
        <w:trPr>
          <w:trHeight w:val="249"/>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(73,848)</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(16,423)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(14,337)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(14,007)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(39,524)</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(136,228)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(23,204)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80"/>
              <w:spacing w:after="0" w:line="160" w:lineRule="exact"/>
              <w:rPr>
                <w:sz w:val="20"/>
                <w:szCs w:val="20"/>
                <w:color w:val="auto"/>
              </w:rPr>
            </w:pPr>
            <w:r>
              <w:rPr>
                <w:rFonts w:ascii="Arial" w:cs="Arial" w:eastAsia="Arial" w:hAnsi="Arial"/>
                <w:sz w:val="14"/>
                <w:szCs w:val="14"/>
                <w:b w:val="1"/>
                <w:bCs w:val="1"/>
                <w:color w:val="auto"/>
                <w:w w:val="93"/>
              </w:rPr>
              <w:t>January</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February 2,</w:t>
            </w: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February 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7"/>
          </w:tcPr>
          <w:p>
            <w:pPr>
              <w:jc w:val="center"/>
              <w:ind w:left="597"/>
              <w:spacing w:after="0"/>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51,941</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39,234</w:t>
            </w: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98,683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30,259</w:t>
            </w:r>
          </w:p>
        </w:tc>
        <w:tc>
          <w:tcPr>
            <w:tcW w:w="6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21,952</w:t>
            </w:r>
          </w:p>
        </w:tc>
        <w:tc>
          <w:tcPr>
            <w:tcW w:w="0" w:type="dxa"/>
            <w:vAlign w:val="bottom"/>
          </w:tcPr>
          <w:p>
            <w:pPr>
              <w:spacing w:after="0"/>
              <w:rPr>
                <w:sz w:val="1"/>
                <w:szCs w:val="1"/>
                <w:color w:val="auto"/>
              </w:rPr>
            </w:pPr>
          </w:p>
        </w:tc>
      </w:tr>
      <w:tr>
        <w:trPr>
          <w:trHeight w:val="25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1,159,003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1,038,199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1,039,375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943,822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917,131</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194,000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198,451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321,287</w:t>
            </w:r>
          </w:p>
        </w:tc>
        <w:tc>
          <w:tcPr>
            <w:tcW w:w="0" w:type="dxa"/>
            <w:vAlign w:val="bottom"/>
          </w:tcPr>
          <w:p>
            <w:pPr>
              <w:spacing w:after="0"/>
              <w:rPr>
                <w:sz w:val="1"/>
                <w:szCs w:val="1"/>
                <w:color w:val="auto"/>
              </w:rPr>
            </w:pPr>
          </w:p>
        </w:tc>
      </w:tr>
      <w:tr>
        <w:trPr>
          <w:trHeight w:val="25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216,351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388,114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381,873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500,296</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942,652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796,462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651,261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561,949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416,835</w:t>
            </w:r>
          </w:p>
        </w:tc>
        <w:tc>
          <w:tcPr>
            <w:tcW w:w="0" w:type="dxa"/>
            <w:vAlign w:val="bottom"/>
          </w:tcPr>
          <w:p>
            <w:pPr>
              <w:spacing w:after="0"/>
              <w:rPr>
                <w:sz w:val="1"/>
                <w:szCs w:val="1"/>
                <w:color w:val="auto"/>
              </w:rPr>
            </w:pPr>
          </w:p>
        </w:tc>
      </w:tr>
      <w:tr>
        <w:trPr>
          <w:trHeight w:val="445"/>
        </w:trPr>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30" w:name="page31"/>
    <w:bookmarkEnd w:id="3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
        <w:spacing w:after="0"/>
        <w:tabs>
          <w:tab w:leader="none" w:pos="866"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left="7"/>
        <w:spacing w:after="0" w:line="273" w:lineRule="auto"/>
        <w:rPr>
          <w:sz w:val="20"/>
          <w:szCs w:val="20"/>
          <w:color w:val="auto"/>
        </w:rPr>
      </w:pPr>
      <w:r>
        <w:rPr>
          <w:rFonts w:ascii="Arial" w:cs="Arial" w:eastAsia="Arial" w:hAnsi="Arial"/>
          <w:sz w:val="17"/>
          <w:szCs w:val="17"/>
          <w:i w:val="1"/>
          <w:iCs w:val="1"/>
          <w:color w:val="auto"/>
        </w:rPr>
        <w:t>You should read the following discussion together with “Item 6, Selected Consolidated Financial Data” and the financial statements and related notes included elsewhere in this Annual Report on Form 10-K. The statements in this discussion regarding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in “Item 1A, Risk Factors” and “Cautionary note regarding forward-looking statements.” Our actual results may differ materially from those contained in or implied by any forward-looking statements.</w:t>
      </w:r>
    </w:p>
    <w:p>
      <w:pPr>
        <w:spacing w:after="0" w:line="70" w:lineRule="exact"/>
        <w:rPr>
          <w:sz w:val="20"/>
          <w:szCs w:val="20"/>
          <w:color w:val="auto"/>
        </w:rPr>
      </w:pPr>
    </w:p>
    <w:p>
      <w:pPr>
        <w:jc w:val="both"/>
        <w:ind w:left="7"/>
        <w:spacing w:after="0" w:line="276" w:lineRule="auto"/>
        <w:rPr>
          <w:sz w:val="20"/>
          <w:szCs w:val="20"/>
          <w:color w:val="auto"/>
        </w:rPr>
      </w:pPr>
      <w:r>
        <w:rPr>
          <w:rFonts w:ascii="Arial" w:cs="Arial" w:eastAsia="Arial" w:hAnsi="Arial"/>
          <w:sz w:val="17"/>
          <w:szCs w:val="17"/>
          <w:i w:val="1"/>
          <w:iCs w:val="1"/>
          <w:color w:val="auto"/>
        </w:rPr>
        <w:t>We operate on a fiscal calendar widely used by the retail industry that results in a given fiscal year consisting of a 52- or 53-week period ending on the Saturday nearer January 31 of the following year. References to “2018” refer to the fiscal year ended February 2, 2019, references to “2017” refer to the fiscal year ended February 3, 2018 and references to “2016” refer to the fiscal year ended January 28, 2017. 2018 and 2016 each consisted of a 52-week period and 2017 consisted of a 53-week period. References to “2019” refer to the fiscal year ending February 1, 2020, which consists of a 52-week period.</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Ollie’s is a highly differentiated and fast-growing, extreme value retailer of brand name merchandise at drastically reduced prices. Known for our assortment of “Good Stuff Cheap®,” we offer customers a broad selection of brand name products, including food, housewares, books and stationery, bed and bath, floor coverings, electronics, and toys.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 as evidenced by our store base expansion from 176 stores to 303 stores, net sales growth from $638.0 million to $1.241 billion and average net sales per store ranging from $3.8 million to $4.3 million from 2014 to 2018. Furthermore, our comparable store sales increased from $999.7 million in 2017 to $1.041 billion in 2018, or 4.2%.</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7"/>
        <w:spacing w:after="0" w:line="279" w:lineRule="auto"/>
        <w:rPr>
          <w:sz w:val="20"/>
          <w:szCs w:val="20"/>
          <w:color w:val="auto"/>
        </w:rPr>
      </w:pPr>
      <w:r>
        <w:rPr>
          <w:rFonts w:ascii="Arial" w:cs="Arial" w:eastAsia="Arial" w:hAnsi="Arial"/>
          <w:sz w:val="17"/>
          <w:szCs w:val="17"/>
          <w:color w:val="auto"/>
        </w:rPr>
        <w:t>Since the founding of Ollie’s in 1982, we have grown organically by backfilling existing markets and leveraging our brand awareness, marketing and infrastructure to expand into new markets in contiguous states. In 2003, Mark Butler, our co-founder, assumed his current role as Chairman, President and Chief Executive Officer. Under Mr. Butler’s leadership, we expanded from 28 stores located in three states at the end of 2003 to 303 stores located in 23 states as of February 2, 2019.</w:t>
      </w:r>
    </w:p>
    <w:p>
      <w:pPr>
        <w:spacing w:after="0" w:line="63"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Our stores are currently supported by two distribution centers, one in York, PA and one in Commerce, GA, which we believe can support between 350 to 400 stores. In 2018, we acquired a 58-acre parcel of land in Lancaster, TX to construct an approximate 615,000 square foot distribution center which we believe could support 150 to 200 additional stores. Construction of the facility has commenced and the distribution center is expected to be operational by the first quarter of fiscal 2020. We have invested in our associates, infrastructure, distribution network and information systems to allow us to continue to rapidly grow our store footprint, including:</w:t>
      </w:r>
    </w:p>
    <w:p>
      <w:pPr>
        <w:spacing w:after="0" w:line="85" w:lineRule="exact"/>
        <w:rPr>
          <w:sz w:val="20"/>
          <w:szCs w:val="20"/>
          <w:color w:val="auto"/>
        </w:rPr>
      </w:pPr>
    </w:p>
    <w:p>
      <w:pPr>
        <w:ind w:left="347" w:hanging="347"/>
        <w:spacing w:after="0"/>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our merchant buying team to increase our access to brand name/closeout merchandise;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members to our senior management team;</w:t>
      </w:r>
    </w:p>
    <w:p>
      <w:pPr>
        <w:spacing w:after="0" w:line="117"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capacity of our distribution centers to our current 1.6 million square feet plus an additional 615,000 square feet once the new distribution center is fully operational; and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investing in information technology, accounting, and warehouse management systems.</w:t>
      </w:r>
    </w:p>
    <w:p>
      <w:pPr>
        <w:spacing w:after="0" w:line="117"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Our business model has produced consistent and predictable store growth over the past several years, during both strong and weaker economic cycles. We plan to continue to enhance our competitive positioning and drive growth in sales and profitability by executing on the following strategies:</w:t>
      </w:r>
    </w:p>
    <w:p>
      <w:pPr>
        <w:spacing w:after="0" w:line="73" w:lineRule="exact"/>
        <w:rPr>
          <w:sz w:val="20"/>
          <w:szCs w:val="20"/>
          <w:color w:val="auto"/>
        </w:rPr>
      </w:pPr>
    </w:p>
    <w:p>
      <w:pPr>
        <w:ind w:left="347" w:hanging="347"/>
        <w:spacing w:after="0"/>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our store base;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offerings of great bargains;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leveraging and expanding Ollie’s Army.</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a proven portable, flexible, and highly profitable store model that has produced consistent financial results and returns. Our new store model targets a store size between 25,000 to 35,000 square feet and an average initial cash investment of approximately $1.0 million, which includes store fixtures and equipment, store-level and distribution center inventory (net of payables) and pre-opening expenses. We target new stores sales of approximately $3.9 million.</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While we are focused on driving comparable store sales and managing our expenses, our revenue and profitability growth will primarily come from opening new stores. The core elements of our business model are procuring great deals, offering extreme values to our customers and creating consistent, predictable store growth and margins. In addition, our new stores generally open strong, immediately contributing to the growth in net sales and profitability of our business. From 2014 to 2018, net sales grew at a CAGR of 18.1%. We plan to achieve continued net sales growth, including increases in our comparable stores sales, by adding stores to our store base and by continuing to provide quality merchandise at a value for our customers as we scale and gain more access to purchase directly from major manufacturers. We also plan to leverage and expand our Ollie’s Army database marketing strategies. In addition, we plan to continue to manage our selling, general and administrative expenses (“SG&amp;A”) by furthering process improvements and by maintaining our standard policy of reviewing our operating costs.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grow and our results of operations may be impacted by additional factors and uncertainties, such as consumer spending habits, which are subject to macroeconomic conditions and changes in discretionary income. Our customers’ discretionary income is primarily impacted by gas prices, wages and consumer trends and preferences, which fluctuate depending on the environment. The potential consolidation of our competitors or other changes in our competitive landscape could also impact our results of operations or our ability to grow, even though we compete with a broad range of retailers.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key competitive advantage is our direct buying relationships with many major manufacturers, wholesalers, distributors, brokers and retailers for our brand name and closeout products and unbranded goods. We also augment our product mix with private label brands. As we continue to grow, we believe our increased scale will provide us with even greater access to brand name and closeout products as major manufacturers seek a single buyer to acquire an entire deal.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 and Key Line Items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are number of new stores, net sales, comparable store sales, gross profit and gross margin, SG&amp;A, pre-opening expenses, operating income, EBITDA and Adjusted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opened 37 new stores, including one relocated store, and closed 2 stores in 2018. We expect new store growth to be the primary driver of our sales growth. Our initial lease terms are approximately seven years with options to renew for three to five successive five-year periods. Our portable and predictable real estate model focuses on backfilling existing markets and entering new markets in contiguous states. Our new stores often open with higher sales levels as a result of greater advertising and promotional spend in connection with grand opening events, but decline shortly thereafter to our new store model levels.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retail sales in our stores when merchandise is sold and the customer takes possession of the merchandise. Also included in net sales in 2018 is revenue allocated to certain redeemed discounts earned via the Ollie’s Army loyalty program and gift card breakage. Net sales are presented net of returns and sales tax. Net sales consist of sales from comparable stores and non-comparable stores, described below under “Comparable Store Sales.” Growth of our net sales is primarily driven by expansion of our store base in existing and new markets. As we continue to grow, we believe we will have greater access to brand name and closeout merchandise and an increased deal selection, resulting in more potential offerings for our customers. Net sales are impacted by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86" w:lineRule="auto"/>
        <w:rPr>
          <w:sz w:val="20"/>
          <w:szCs w:val="20"/>
          <w:color w:val="auto"/>
        </w:rPr>
      </w:pPr>
      <w:r>
        <w:rPr>
          <w:rFonts w:ascii="Arial" w:cs="Arial" w:eastAsia="Arial" w:hAnsi="Arial"/>
          <w:sz w:val="17"/>
          <w:szCs w:val="17"/>
          <w:color w:val="auto"/>
        </w:rPr>
        <w:t>mix, merchandise mix and availability, as well as promotional activities and the spending habits of our customers. Our broad selection of offerings across diverse product categories supports growth in net sales by attracting new customers, which results in higher spending levels and frequency of shopping visits from our customers, including Ollie’s Army members.</w:t>
      </w:r>
    </w:p>
    <w:p>
      <w:pPr>
        <w:spacing w:after="0" w:line="57" w:lineRule="exact"/>
        <w:rPr>
          <w:sz w:val="20"/>
          <w:szCs w:val="20"/>
          <w:color w:val="auto"/>
        </w:rPr>
      </w:pPr>
    </w:p>
    <w:p>
      <w:pPr>
        <w:jc w:val="both"/>
        <w:ind w:left="7"/>
        <w:spacing w:after="0" w:line="257" w:lineRule="auto"/>
        <w:rPr>
          <w:sz w:val="20"/>
          <w:szCs w:val="20"/>
          <w:color w:val="auto"/>
        </w:rPr>
      </w:pPr>
      <w:r>
        <w:rPr>
          <w:rFonts w:ascii="Arial" w:cs="Arial" w:eastAsia="Arial" w:hAnsi="Arial"/>
          <w:sz w:val="18"/>
          <w:szCs w:val="18"/>
          <w:color w:val="auto"/>
        </w:rPr>
        <w:t>The spending habits of our customers are subject to macroeconomic conditions and changes in discretionary income. Our customers’ discretionary income is primarily impacted by gas prices, wages and consumer trends and preferences, which fluctuate depending on the environment. However, because we offer a broad selection of merchandise at extreme values, we believe we are less impacted than other retailers by economic cycles. These cycles correspond with declines in general consumer spending habits and we benefit from periods of increased consumer spending.</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color w:val="auto"/>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Comparable store sales are impacted by the same factors that impact net sales.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color w:val="auto"/>
        </w:rPr>
        <w:t>We define comparable stores to be stores:</w:t>
      </w:r>
    </w:p>
    <w:p>
      <w:pPr>
        <w:spacing w:after="0" w:line="117" w:lineRule="exact"/>
        <w:rPr>
          <w:sz w:val="20"/>
          <w:szCs w:val="20"/>
          <w:color w:val="auto"/>
        </w:rPr>
      </w:pPr>
    </w:p>
    <w:p>
      <w:pPr>
        <w:ind w:left="347" w:hanging="347"/>
        <w:spacing w:after="0"/>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have been remodeled while remaining open;</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are closed for five or fewer days in any fiscal month;</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are closed temporarily and relocated within their respective trade areas;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have expanded, but are not significantly different in size, within their current locations.</w:t>
      </w:r>
    </w:p>
    <w:p>
      <w:pPr>
        <w:spacing w:after="0" w:line="117"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Non-comparable store sales consist of new store sales and sales for stores not open for a full 15 months. Stores which are closed temporarily, but for more than five days in any fiscal month, are included in non-comparable store sales beginning in the fiscal month in which the temporary closure begins until the first full month of operation once the store re-opens, at which time they are included in comparable store sales.</w:t>
      </w:r>
    </w:p>
    <w:p>
      <w:pPr>
        <w:spacing w:after="0" w:line="79"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Opening new stores is the primary component of our growth strategy and as we continue to execute on our growth strategy, we expect a significant portion of our sales growth will be attributable to non-comparable store sales. Accordingly, comparable store sales are only one measure we use to assess the success of our growth strategy.</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Gross profit is equal to our net sales less our cost of sales. Cost of sales includes merchandise costs, inventory markdowns, shrinkage and transportation, distribution and warehousing costs, including depreciation. Gross margin is gross profit as a percentage of our net sales. Gross margin is a measure used by management to indicate whether we are selling merchandise at an appropriate gross profit.</w:t>
      </w:r>
    </w:p>
    <w:p>
      <w:pPr>
        <w:spacing w:after="0" w:line="79"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In addition, our gross margin is impacted by product mix, as some products generally provide higher gross margins, by our merchandise mix and availability and by our merchandise cost, which can vary.</w:t>
      </w:r>
    </w:p>
    <w:p>
      <w:pPr>
        <w:spacing w:after="0" w:line="62" w:lineRule="exact"/>
        <w:rPr>
          <w:sz w:val="20"/>
          <w:szCs w:val="20"/>
          <w:color w:val="auto"/>
        </w:rPr>
      </w:pPr>
    </w:p>
    <w:p>
      <w:pPr>
        <w:jc w:val="both"/>
        <w:ind w:left="7"/>
        <w:spacing w:after="0" w:line="279" w:lineRule="auto"/>
        <w:rPr>
          <w:sz w:val="20"/>
          <w:szCs w:val="20"/>
          <w:color w:val="auto"/>
        </w:rPr>
      </w:pPr>
      <w:r>
        <w:rPr>
          <w:rFonts w:ascii="Arial" w:cs="Arial" w:eastAsia="Arial" w:hAnsi="Arial"/>
          <w:sz w:val="17"/>
          <w:szCs w:val="17"/>
          <w:color w:val="auto"/>
        </w:rPr>
        <w:t>Our gross profit is variable in nature and generally follows changes in net sales. We regularly analyze the components of gross profit as well as gross margin. Specifically, our product margin and merchandise mix is reviewed by our merchant team and senior management, ensuring strict adherence to internal margin goals. Our disciplined buying approach has produced consistent gross margins and we believe helps to mitigate adverse impacts on gross profit and results of operation.</w:t>
      </w:r>
    </w:p>
    <w:p>
      <w:pPr>
        <w:spacing w:after="0" w:line="63"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SG&amp;A are comprised of payroll and benefits for store, field support and support center associates. SG&amp;A also include marketing and advertising, occupancy, utilities, supplies, credit card processing fees, insurance and professional services. The components of our SG&amp;A remain relatively consistent per store and for each new store opening.</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Consolidated SG&amp;A generally increase as we grow our store base and as our net sales increase. A significant portion of our expenses is primarily fixed in nature, and we expect to continue to maintain strict discipline while carefully monitoring SG&amp;A as a percentage of net sales.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our SG&amp;A may not be comparable to the components of similar measures of other retailers. We expect that our SG&amp;A will continue to increase in future periods with future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are stated at original cost less accumulated depreciation and amortization. Depreciation and amortization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is computed on the straight-line method for financial reporting purposes. Depreciation as it relates to our distribution centers is included within cost of sales on the consolidated statements of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Pre-opening expenses consist of expenses of opening new stores and distribution centers, as well as store closing costs. For opening new stores, pre-opening expenses include grand opening advertising costs, payroll expenses, travel expenses, employee training costs, rent expenses and store setup costs. Pre-opening expenses for new stores are expensed as they are incurred, which is typically within 30 to 45 days of opening a new store. For opening distribution centers, pre-opening expenses primarily include inventory transportation costs, employee travel expenses and occupancy costs. Store closing costs primarily consist of insurance deductibles, rent and store payroll.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is gross profit less SG&amp;A, depreciation and amortization and pre-opening expenses. Operating income excludes interest expense, net, and income tax expense. We use operating income as an indicator of the productivity of our business and our ability to manage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EBITDA as net income before net interest expense, loss on extinguishment of debt, depreciation and amortization expenses and income taxes. Adjusted EBITDA represents EBITDA as further adjusted for the non-cash items of stock-based compensation expense and certain purchase accounting items, and transaction related expenses.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over the past three years have been affected by the following events, which must be understood in order to assess the comparability of our period-to-period financial performance and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Subsequent Equity Offerings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our IPO in 2015, we completed several secondary equity offerings of shares of common stock held by affiliates of our private equity sponsor, CCMP Capital Advisors, LLC (collectively “CCMP”) and other management stockholders. We were acquired by CCMP and certain members of management in September 2012 (the “CCMP Acquisition”). During 2016, CCMP liquidated its ownership position in Ollie’s.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 and Payments to Stockholders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2016, we completed a transaction in which we refinanced our prior credit facilities with the proceeds of our Credit Facilities, consisting of the $200.0 million Term Loan Facility and the $100.0 million Revolving Credit Facility, which includes a $25.0 million sub-facility for letters of credit and a $25.0 million sub-facility for swingline loans (the “Refinancing”). We incurred various arrangement fees and legal fees totaling $2.1 million in connection with the Refinancing, of which $2.0 million was recorded as deferred financing fees and $0.1 million was recognized as SG&amp;A on the date of the Refinancing. See “Liquidity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Openings and Closings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2018, 2017, and 2016, we opened 37 new stores and closed 2 stores, opened 34 new stores, and opened 31 new stores, respectively. In connection with these store openings and closings, we incurred pre-opening expenses of $11.1 million, $7.9 million and $6.9 million in 2018, 2017 and 2016, respectively. In 2019, we expect to open between 42 and 44 new stores and enter the states of Massachusetts and Oklahoma.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7" w:right="20"/>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for the periods indicated, both in dollars and as a percentage of our net sales.</w:t>
      </w:r>
    </w:p>
    <w:p>
      <w:pPr>
        <w:spacing w:after="0" w:line="62" w:lineRule="exact"/>
        <w:rPr>
          <w:sz w:val="20"/>
          <w:szCs w:val="20"/>
          <w:color w:val="auto"/>
        </w:rPr>
      </w:pPr>
    </w:p>
    <w:p>
      <w:pPr>
        <w:ind w:left="7" w:right="20"/>
        <w:spacing w:after="0" w:line="277" w:lineRule="auto"/>
        <w:rPr>
          <w:sz w:val="20"/>
          <w:szCs w:val="20"/>
          <w:color w:val="auto"/>
        </w:rPr>
      </w:pPr>
      <w:r>
        <w:rPr>
          <w:rFonts w:ascii="Arial" w:cs="Arial" w:eastAsia="Arial" w:hAnsi="Arial"/>
          <w:sz w:val="18"/>
          <w:szCs w:val="18"/>
          <w:color w:val="auto"/>
        </w:rPr>
        <w:t>We derived the consolidated statements of income for 2018, 2017 and 2016 from our consolidated financial statements and related notes. Our historical results are not necessarily indicative of the results that may be expected in the future.</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(dollars in thousands)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1,241,377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1,077,032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84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497,651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431,647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360,411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312,790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278,174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242,891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5840" w:type="dxa"/>
            <w:vAlign w:val="bottom"/>
            <w:gridSpan w:val="3"/>
          </w:tcPr>
          <w:p>
            <w:pPr>
              <w:spacing w:after="0"/>
              <w:rPr>
                <w:sz w:val="20"/>
                <w:szCs w:val="20"/>
                <w:color w:val="auto"/>
              </w:rPr>
            </w:pPr>
            <w:r>
              <w:rPr>
                <w:rFonts w:ascii="Arial" w:cs="Arial" w:eastAsia="Arial" w:hAnsi="Arial"/>
                <w:sz w:val="18"/>
                <w:szCs w:val="18"/>
                <w:color w:val="auto"/>
              </w:rPr>
              <w:t>Pre-opening expenses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135,756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8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160,643</w:t>
            </w:r>
          </w:p>
        </w:tc>
        <w:tc>
          <w:tcPr>
            <w:tcW w:w="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130,487</w:t>
            </w: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96,259</w:t>
            </w: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Percentage of net sales (1):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080" w:type="dxa"/>
            <w:vAlign w:val="bottom"/>
            <w:gridSpan w:val="3"/>
          </w:tcPr>
          <w:p>
            <w:pPr>
              <w:jc w:val="right"/>
              <w:ind w:right="28"/>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43"/>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584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8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39"/>
        </w:trPr>
        <w:tc>
          <w:tcPr>
            <w:tcW w:w="20" w:type="dxa"/>
            <w:vAlign w:val="bottom"/>
          </w:tcPr>
          <w:p>
            <w:pPr>
              <w:spacing w:after="0"/>
              <w:rPr>
                <w:sz w:val="20"/>
                <w:szCs w:val="20"/>
                <w:color w:val="auto"/>
              </w:rPr>
            </w:pPr>
          </w:p>
        </w:tc>
        <w:tc>
          <w:tcPr>
            <w:tcW w:w="58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Select operating data:</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new stores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Number of store closings</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stores open at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Arial" w:cs="Arial" w:eastAsia="Arial" w:hAnsi="Arial"/>
                <w:sz w:val="18"/>
                <w:szCs w:val="18"/>
                <w:color w:val="auto"/>
              </w:rPr>
              <w:t>Average net sales per store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Comparable stores sales change</w:t>
            </w: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44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Components may not add to totals due to rounding.</w:t>
      </w:r>
    </w:p>
    <w:p>
      <w:pPr>
        <w:spacing w:after="0" w:line="109"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net sales per store represents the weighted average of total net sales divided by the number of stores open, in each case at the end of each week in each fiscal period.</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6" w:name="page37"/>
    <w:bookmarkEnd w:id="3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provides a reconciliation of our net income to Adjusted EBITDA for the periods presented:</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59,764</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5,935</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Depreciation and amortization expenses (1)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10,668</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36,495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176,397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148,017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112,862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Non-cash stock-based compensation expense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6,685</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Non-cash purchase accounting items (2)</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 related expenses (3)</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598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183,686</w:t>
            </w:r>
          </w:p>
        </w:tc>
        <w:tc>
          <w:tcPr>
            <w:tcW w:w="6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155,366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121,149</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03" w:lineRule="exact"/>
        <w:rPr>
          <w:sz w:val="20"/>
          <w:szCs w:val="20"/>
          <w:color w:val="auto"/>
        </w:rPr>
      </w:pPr>
    </w:p>
    <w:p>
      <w:pPr>
        <w:ind w:left="347" w:hanging="347"/>
        <w:spacing w:after="0"/>
        <w:tabs>
          <w:tab w:leader="none" w:pos="347"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depreciation and amortization relating to our distribution centers, which is included within cost of sales on our consolidated statements of income.</w:t>
      </w:r>
    </w:p>
    <w:p>
      <w:pPr>
        <w:spacing w:after="0" w:line="120" w:lineRule="exact"/>
        <w:rPr>
          <w:rFonts w:ascii="Arial" w:cs="Arial" w:eastAsia="Arial" w:hAnsi="Arial"/>
          <w:sz w:val="13"/>
          <w:szCs w:val="13"/>
          <w:color w:val="auto"/>
        </w:rPr>
      </w:pPr>
    </w:p>
    <w:p>
      <w:pPr>
        <w:ind w:left="347" w:hanging="347"/>
        <w:spacing w:after="0"/>
        <w:tabs>
          <w:tab w:leader="none" w:pos="3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purchase accounting impact from unfavorable lease liabilities related to the CCMP Acquisition.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professional services and one-time compensation expenses related to the 2016 secondary offering transactions.</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2018 compared to 2017</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6"/>
          <w:szCs w:val="16"/>
          <w:color w:val="auto"/>
        </w:rPr>
        <w:t>Net sales increased to $1.241 billion for 2018 from $1.077 billion for 2017, an increase of $164.3 million, or 15.3%. The increase was the result of a comparable store sales increase of $41.7 million, or 4.2%, and a non-comparable store sales increase of $122.6 million. The increase in non-comparable store sales was driven by sales from new stores that have not been open for a full 15 months during 2018. Excluding the impact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in 2017, net sales increased 17.1% year over year.</w:t>
      </w:r>
    </w:p>
    <w:p>
      <w:pPr>
        <w:spacing w:after="0" w:line="3" w:lineRule="exact"/>
        <w:rPr>
          <w:sz w:val="20"/>
          <w:szCs w:val="20"/>
          <w:color w:val="auto"/>
        </w:rPr>
      </w:pPr>
    </w:p>
    <w:p>
      <w:pPr>
        <w:jc w:val="both"/>
        <w:ind w:left="7"/>
        <w:spacing w:after="0" w:line="295" w:lineRule="auto"/>
        <w:rPr>
          <w:sz w:val="20"/>
          <w:szCs w:val="20"/>
          <w:color w:val="auto"/>
        </w:rPr>
      </w:pPr>
      <w:r>
        <w:rPr>
          <w:rFonts w:ascii="Arial" w:cs="Arial" w:eastAsia="Arial" w:hAnsi="Arial"/>
          <w:sz w:val="16"/>
          <w:szCs w:val="16"/>
          <w:color w:val="auto"/>
        </w:rPr>
        <w:t>Comparable store sales increased 4.2% for 2018 compared to a 3.3% increase for 2017, and reflected 52 weeks in both periods. The increase in comparable store sales during 2018 was driven by an increase in the average transaction size offset by a decrease in number of transactions. On a department basis, the increase was primarily driven by strong results in the housewares, toys, floor coverings, auto and health &amp; beauty aids departments, slightly offset by decreases in our food, hardware and books departments.</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Cost of sales increased to $743.7 million for 2018 from $645.4 million for 2017, an increase of $98.3 million, or 15.2%. The increase in cost of sales was primarily a result of increased net sales.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ind w:left="7"/>
        <w:spacing w:after="0" w:line="312" w:lineRule="auto"/>
        <w:rPr>
          <w:sz w:val="20"/>
          <w:szCs w:val="20"/>
          <w:color w:val="auto"/>
        </w:rPr>
      </w:pPr>
      <w:r>
        <w:rPr>
          <w:rFonts w:ascii="Arial" w:cs="Arial" w:eastAsia="Arial" w:hAnsi="Arial"/>
          <w:sz w:val="16"/>
          <w:szCs w:val="16"/>
          <w:color w:val="auto"/>
        </w:rPr>
        <w:t>Gross profit increased to $497.7 million for 2018 from $431.6 million for 2017, an increase of $66.0 million, or 15.3%. The increase in gross profit was primarily the result of new store growth and increases in comparable store sales. Our gross margin remained consistent at 40.1% for 2018 and 2017 due to merchandise margin increases which were offset by increased supply chain costs.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7"/>
        <w:spacing w:after="0" w:line="279" w:lineRule="auto"/>
        <w:rPr>
          <w:sz w:val="20"/>
          <w:szCs w:val="20"/>
          <w:color w:val="auto"/>
        </w:rPr>
      </w:pPr>
      <w:r>
        <w:rPr>
          <w:rFonts w:ascii="Arial" w:cs="Arial" w:eastAsia="Arial" w:hAnsi="Arial"/>
          <w:sz w:val="17"/>
          <w:szCs w:val="17"/>
          <w:color w:val="auto"/>
        </w:rPr>
        <w:t>SG&amp;A increased to $312.8 million for 2018 from $278.2 million for 2017, an increase of $34.6 million, or 12.4%. As a percentage of net sales, SG&amp;A decreased 60 basis points to 25.2% for 2018 compared to 25.8% for 2017. The dollar increase in SG&amp;A was primarily driven by increased selling expenses related to new store growth and higher sales volume. These increased expenses consisted primarily of store payroll and benefits, store occupancy costs, and other store-related expenses.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Depreciation and amortization expenses increased to $11.7 million for 2018 from $9.8 million for 2017, an increase of $1.8 million, or 18.8%, the result of the increased asset base due to new store growth.</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Pre-opening expenses increased to $11.1 million for 2018 from $7.9 million for 2017, an increase of $3.2 million, or 41.1%. The increase primarily is due to the number and timing of new store openings year over year, including costs associated with our newly acquired former Toys “R” Us store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decreased to $1.3 million for 2018 from $4.5 million for 2017, a decrease of $3.2 million or 71.8%. The average outstanding loan balance in 2018 was lower, resulting in a decrease in interest expense year over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increased to $25.6 million for 2018 from $2.9 million for 2017, an increase of $22.7 million. Our effective tax rate increased to 16.0% for 2018 from 2.2% for 2017. The increase is primarily due to the federal tax law changes contained in the Tax Cuts and Jobs Act (the “2017 Tax Act”), which, among other things, reduced the federal tax rate from 35% to 21% effective January 1, 2018. The effective tax rate for 2017 included a $32.6 million tax benefit primarily from the revaluation of our deferred tax liabilities to reflect the lower statutory rate of 21%. Income tax expense and the effective income tax rate were further reduced in both 2018 and 2017 by a discrete tax benefit of $14.6 million and $14.4 million, respectively, due to excess tax benefits related to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net income increased to $135.0 million for 2018 from $127.6 million for 2017, an increase of $7.4 million, or 5.8%.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increased to $183.7 million for 2018 from $155.4 million for 2017, an increase of $28.3 million, or 18.2%. As a percentage of net sales, Adjusted EBITDA increased 40 basis points to 14.8%. The increase in Adjusted EBITDA for 2018 is due primarily to our increase in net sales, which was driven by a 4.2% increase in comparable store sales and a 13.1% increase in store count over 2017. In addition, we leveraged SG&amp;A as a percentage of net sales by 60 basis points, all resulting in the improvement of our Adjusted EBITDA performance compared to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Net sales increased to $1.077 billion for 2017 from $890.3 million for 2016, an increase of $186.7 million, or 21.0%. The increase was the result of a comparable store sales increase of $27.7 million, or 3.3%, and a non-comparable store sales increase of $159.0 million. The increase in non-comparable store sales was driven by sales from new stores that have not been open for a full 15 months during 2017 and $16.5 million of sales from a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in 2017. Excluding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sales increased 19.1% year over year.</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Comparable store sales increased 3.3% for 2017 compared to a 3.2% increase for 2016, and reflected 52 weeks in both periods. The increase in comparable store sales during 2017 was driven by an increase in the average transaction size as well as an increase in the number of customer transactions. On a department basis, the increase was primarily driven by strong results in the health and beauty aids, housewares, toys, bed and bath and electronic accessories departments, slightly offset by decreases in our hardware, food and books departments.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increased to $645.4 million for 2017 from $529.9 million for 2016, an increase of $115.5 million, or 21.8%. The increase in cost of sales was primarily a result of increased net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to $431.6 million for 2017 from $360.4 million for 2016, an increase of $71.2 million, or 19.8%. The increase in gross profit was primarily the result of new store growth and increases in comparable store sales. Our gross margin decreased to 40.1% from 40.5% for 2017 and 2016, respectively. The decrease in gross margin in 2017 is due to decreased merchandise margins partially offset by favorable supply chain costs as a percentage of net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SG&amp;A increased to $278.2 million for 2017 from $242.9 million for 2016, an increase of $35.3 million, or 14.5%. As a percentage of net sales, SG&amp;A decreased 150 basis points to 25.8% for 2017 compared to 27.3% for 2016. The dollar increase in SG&amp;A was primarily driven by increased selling expenses related to new store growth and higher sales volume. These increased expenses consisted primarily of store payroll and benefits, store occupancy costs, and other store-related expenses.</w:t>
      </w:r>
    </w:p>
    <w:p>
      <w:pPr>
        <w:spacing w:after="0" w:line="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Included in SG&amp;A for 2016 were $1.7 million of transaction related expenses associated with our secondary stock offerings on February 18, 2016, June 6, 2016 and September 6, 2016. Excluding the $1.7 million of transaction related expenses from 2016, SG&amp;A in 2017 increased 15.4% over 2016 and as percentage of net sales decreased 130 basis points.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expenses increased to $9.8 million for 2017 from $8.4 million for 2016, an increase of $1.4 million, or 16.3%, the result of the increased asset base due to new store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Pre-opening expenses increased to $7.9 million for 2017 from $6.9 million for 2016, an increase of $1.0 million, or 14.8%. The increase primarily relates to expenses incurred in opening 34 stores during 2017 compared to opening 31 stores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expense decreased to $4.5 million for 2017 from $5.9 million for 2016, a decrease of $1.5 million or 24.7%. The decrease in 2017 was primarily due to prepayments on the Term Loan Facility totaling $146.3 million, decreasing our average outstanding loan balance and resulting in a lower interest expense for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Income tax expense decreased to $2.9 million for 2017 from $36.5 million for 2016, a decrease of $33.6 million, or 92.1%. The decrease in income tax expense was primarily the result of the 2017 Tax Act, which was effective as of January 1, 2018. The 2017 Tax Act, among other things, decreased the existing maximum federal corporate tax rate from 35% to 21%. Pursuant to the provisions of the 2017 Tax Act, we recorded a tax benefit of $32.6 million primarily due to the net impact of the revaluation of net deferred tax liability balances. The decrease in income tax expense was also due to a discrete tax benefit of $14.4 million recognized under the accounting changes for stock-based compensation in Accounting Standards Update 2016-09,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As a result, our effective tax rate decreased to 2.2% for 2017 from 37.9% for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net income increased to $127.6 million for 2017 from $59.8 million for 2016, an increase of $67.8 million, or 113.5%.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increased to $155.4 million for 2017 from $121.1 million for 2016, an increase of $34.2 million, or 28.2%. As a percentage of net sales, Adjusted EBITDA increased 80 basis points to 14.4%. The increase in Adjusted EBITDA for 2017 is due primarily to our increase in net sales, which was driven by a 3.3% increase in comparable store sales and a 14.5% increase in store count over 2016. In addition, we leveraged SG&amp;A as a percentage of net sales by 130 basis points, all resulting in the improvement of our Adjusted EBITDA performance compared to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sources of liquidity are net cash provided by operating activities and borrowings under our Revolving Credit Facility. Our primary cash needs are for capital expenditures and working capital. As of February 2, 2019, we had $98.9 million available to borrow under our $100.0 million Revolving Credit Facility and $51.9 million of cash and cash equivalents on hand. We had no outstanding borrowings under our Term Loan Facility, having paid the balance in full in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capital expenditures are primarily related to new store openings, store resets, which consist of improvements to stores as they are needed, expenditures related to our distribution centers, and infrastructure-related investments, including investments related to upgrading and maintaining our information technology systems. We spent $74.2 million, $19.3 million and $16.4 million for capital expenditures in 2018, 2017 and 2016, respectively. Our 2018 capital expenditures include the purchase of 12 former Toys “R” Us locations for approximately $42.0 million. We expect to fund capital expenditures from net cash provided by operating activities. We opened 37 new stores during 2018 and expect to open between 42 and 44 new stores during 2019. We expect to invest in our distribution centers, including the newly acquired 58-acre parcel of land in Lancaster, TX for the construction of our third distribution center expected to be completed in the first quarter of 2020. In addition, we expect to invest in store resets and general corporate capital expenditures, including information technology, in 2019.</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funded our capital expenditures and working capital requirements during the fiscal year with cash on hand and borrowings under our revolving credit facility. When we have used our revolving credit facility, the amount of indebtedness outstanding under it has tended to be the highest in the beginning of our fourth fiscal quarter.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working capital requirements are for the purchase of inventory, payroll, rent,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our new store growth plans, we believe our cash and cash equivalents position, net cash provided by operating activities and availability under our Revolving Credit Facility will be adequate to finance our planned capital expenditures, working capital requirements and debt service over the next 12 months. If cash provided by operating activities and borrowings under our Revolving Credit Facility are not sufficient or available to meet our capital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from operating, investing and financing activities is presented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r>
      <w:tr>
        <w:trPr>
          <w:trHeight w:val="183"/>
        </w:trPr>
        <w:tc>
          <w:tcPr>
            <w:tcW w:w="6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126,079</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67,088</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(73,848)</w:t>
            </w: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(19,157)</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(16,423)</w:t>
            </w:r>
          </w:p>
        </w:tc>
      </w:tr>
      <w:tr>
        <w:trPr>
          <w:trHeight w:val="249"/>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(39,524)</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(136,228)</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r>
      <w:tr>
        <w:trPr>
          <w:trHeight w:val="20"/>
        </w:trPr>
        <w:tc>
          <w:tcPr>
            <w:tcW w:w="64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12,707</w:t>
            </w:r>
          </w:p>
        </w:tc>
        <w:tc>
          <w:tcPr>
            <w:tcW w:w="18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(59,449)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68,424</w:t>
            </w:r>
          </w:p>
        </w:tc>
      </w:tr>
      <w:tr>
        <w:trPr>
          <w:trHeight w:val="21"/>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for 2018 was $126.1 million, an increase from $95.9 million for 2017. The increase in net cash provided by operating activities was primarily the result of increased net income due to the opening of 37 new stores and increased profitability at existing stores.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for 2017 was $95.9 million, an increase from $67.1 million for 2016. The increase in net cash provided by operating activities was primarily the result of increased net income due to the opening of 34 new stores and increased profitability at existing stores.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increased for 2018 to $73.8 million from $19.2 million for 2017. The increase in cash used in investing activities primarily relates to the purchase of 12 former Toys “R” Us store locations for $42.0 million. In addition, we spent $4.4 million to obtain land and begin construction of our third distribution center in Lancaster, TX.</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increased for 2017 to $19.2 million from $16.4 million for 2016. The increase in cash used in investing activities relates to capital expenditures for 34 new store openings in 2017 compared to 31 new store openings in 2016. In addition, $1.1 million was invested in a new data center and additional office space.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Cash Provided by/Used In Financing Activities</w:t>
      </w:r>
    </w:p>
    <w:p>
      <w:pPr>
        <w:spacing w:after="0" w:line="117"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Net cash used in financing activities for 2018 was $39.5 million and net cash used in financing activities for 2017 was $136.2 million. The net cash used in 2018 is primarily the result of the $48.8 million of prepayments made on the Term Loan Facility to pay off the outstanding balance in full.</w:t>
      </w:r>
    </w:p>
    <w:p>
      <w:pPr>
        <w:spacing w:after="0" w:line="73" w:lineRule="exact"/>
        <w:rPr>
          <w:sz w:val="20"/>
          <w:szCs w:val="20"/>
          <w:color w:val="auto"/>
        </w:rPr>
      </w:pPr>
    </w:p>
    <w:p>
      <w:pPr>
        <w:jc w:val="both"/>
        <w:ind w:left="7" w:right="20"/>
        <w:spacing w:after="0" w:line="342" w:lineRule="auto"/>
        <w:rPr>
          <w:sz w:val="20"/>
          <w:szCs w:val="20"/>
          <w:color w:val="auto"/>
        </w:rPr>
      </w:pPr>
      <w:r>
        <w:rPr>
          <w:rFonts w:ascii="Arial" w:cs="Arial" w:eastAsia="Arial" w:hAnsi="Arial"/>
          <w:sz w:val="16"/>
          <w:szCs w:val="16"/>
          <w:color w:val="auto"/>
        </w:rPr>
        <w:t>Net cash used in financing activities for 2017 was $136.2 million and net cash provided by financing activities for 2016 was $17.8 million. The net cash used in 2017 is primarily the result of the $146.3 million prepayments made on the Term Loan Facility.</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On January 29, 2016, the Borrowers completed a transaction in which they refinanced the prior credit facilities with the proceeds of the Credit Facilities, consisting of the $200.0 million Term Loan Facility and the $100.0 million Revolving Credit Facility, which includes a $25.0 million sub-facility for letters of credit and a $25.0 million sub-facility for swingline loans. The proceeds of the Term Loan Facility, together with cash on hand, were used to repay the then-existing credit facilities. Loans under the Credit Facilities mature on January 29, 2021. The interest rates for the Credit Facilities are not subject to a floor and are calculated as the higher of the Prime Rate, the Federal Funds Effective Rate plus 0.50% or the Eurodollar Rate plus 1.0%, plus the Applicable Margin, or, for Eurodollar Loans, the Eurodollar Rate plus the Applicable Margin. The Applicable Margin will vary from 0.75% to 1.25% for a Base Rate Loan and 1.75% to 2.25% for a Eurodollar Loan, based on reference to the total leverage ratio (total debt to Adjusted EBITDA, as defined in the agreement).</w:t>
      </w:r>
    </w:p>
    <w:p>
      <w:pPr>
        <w:spacing w:after="0" w:line="74"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The credit agreement governing the Credit Facilities provides that the Borrowers may request increased commitments under the Revolving Credit Facility and additional term loans or additional term facilities under the Term Loan Facility, in each case, subject to certain conditions and in an aggregate principal amount not to exceed (x) $100.0 million, plus (y) in the case of any incremental term loans that serve to effectively extend the maturity of the Term Loan Facility, an amount equal to the reductions in the Term Loan Facility to be replaced thereby plus (z) an additional amount, subject to compliance on a pro forma basis with a total leverage ratio of no greater than 3.25: 1.00 as of February 2, 2019. The effective yield for any such incremental facility under the Term Loan Facility will be subject to a “most favored nation” pricing protection provision with a cushion of 0.50%. The incurrence of any incremental facility under the Term Loan Facility is subject to customary conditions precedent.</w:t>
      </w:r>
    </w:p>
    <w:p>
      <w:pPr>
        <w:spacing w:after="0" w:line="58" w:lineRule="exact"/>
        <w:rPr>
          <w:sz w:val="20"/>
          <w:szCs w:val="20"/>
          <w:color w:val="auto"/>
        </w:rPr>
      </w:pPr>
    </w:p>
    <w:p>
      <w:pPr>
        <w:jc w:val="both"/>
        <w:ind w:left="7"/>
        <w:spacing w:after="0" w:line="289" w:lineRule="auto"/>
        <w:rPr>
          <w:sz w:val="20"/>
          <w:szCs w:val="20"/>
          <w:color w:val="auto"/>
        </w:rPr>
      </w:pPr>
      <w:r>
        <w:rPr>
          <w:rFonts w:ascii="Arial" w:cs="Arial" w:eastAsia="Arial" w:hAnsi="Arial"/>
          <w:sz w:val="16"/>
          <w:szCs w:val="16"/>
          <w:color w:val="auto"/>
        </w:rPr>
        <w:t>Under the terms of the Revolving Credit Facility, we can borrow up to 90.0% of the most recent appraised value (valued at cost, discounted for the current net orderly liquidation value) of our eligible inventory, as defined, up to $100.0 million. The Revolving Credit Facility includes a $25.0 million sub-facility for letters of credit and a $25.0 million swingline loan facility. A variable unused line fee of 0.375% per annum will be charged on the average daily unused portion of the Revolving Credit Facility if the total leverage ratio is greater than 3.25: 1.00 or 0.250% per annum if the total leverage ratio is less than 3.25: 1.00. A letter of credit fee will accrue on the aggregate face amount of outstanding letters of credit under the Revolving Credit Facility equal to the interest rate margin for Eurodollar Loans under the Revolving Credit Facility. In addition, a fronting fee will be paid to the letter of credit issuer on the aggregate face amount of outstanding standby letters of credit not to exceed 0.125% per annum, which fee shall be calculated based on the actual number of days elapsed over a 360 day year and payable in arrears, on the first day of each quarter.</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Credit Facilities require the Borrowers to prepay, subject to certain exceptions, outstanding term loans with:</w:t>
      </w:r>
    </w:p>
    <w:p>
      <w:pPr>
        <w:spacing w:after="0" w:line="117" w:lineRule="exact"/>
        <w:rPr>
          <w:sz w:val="20"/>
          <w:szCs w:val="20"/>
          <w:color w:val="auto"/>
        </w:rPr>
      </w:pPr>
    </w:p>
    <w:p>
      <w:pPr>
        <w:ind w:left="347" w:right="20" w:hanging="347"/>
        <w:spacing w:after="0" w:line="277"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net cash proceeds of any incurrence, issuance or sale of indebtedness, other than the net cash proceeds of indebtedness permitted under the Credit Facilities; and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net cash proceeds of asset sales, subject to reinvestment rights and certain other exceptions.</w:t>
      </w:r>
    </w:p>
    <w:p>
      <w:pPr>
        <w:spacing w:after="0" w:line="117" w:lineRule="exact"/>
        <w:rPr>
          <w:sz w:val="20"/>
          <w:szCs w:val="20"/>
          <w:color w:val="auto"/>
        </w:rPr>
      </w:pPr>
    </w:p>
    <w:p>
      <w:pPr>
        <w:jc w:val="both"/>
        <w:ind w:left="7"/>
        <w:spacing w:after="0" w:line="312" w:lineRule="auto"/>
        <w:rPr>
          <w:sz w:val="20"/>
          <w:szCs w:val="20"/>
          <w:color w:val="auto"/>
        </w:rPr>
      </w:pPr>
      <w:r>
        <w:rPr>
          <w:rFonts w:ascii="Arial" w:cs="Arial" w:eastAsia="Arial" w:hAnsi="Arial"/>
          <w:sz w:val="16"/>
          <w:szCs w:val="16"/>
          <w:color w:val="auto"/>
        </w:rPr>
        <w:t>The Revolving Credit Facility requires the Borrowers to first prepay outstanding loans and then cash collateralize outstanding letters of credit if at any time the aggregate amount of outstanding loans, unreimbursed letter of credit drawings and outstanding letters of credit under the Revolving Credit Facility exceeds the line cap, in an aggregate amount equal to such excess.</w:t>
      </w:r>
    </w:p>
    <w:p>
      <w:pPr>
        <w:spacing w:after="0" w:line="39"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The Borrowers may voluntarily reduce the unutilized portion of the commitment amount and repay outstanding loans under the Credit Facilities at any time without premium or penalty other than customary “breakage” costs with respect to Eurodollar borrowings.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77" w:lineRule="auto"/>
        <w:rPr>
          <w:sz w:val="20"/>
          <w:szCs w:val="20"/>
          <w:color w:val="auto"/>
        </w:rPr>
      </w:pPr>
      <w:r>
        <w:rPr>
          <w:rFonts w:ascii="Arial" w:cs="Arial" w:eastAsia="Arial" w:hAnsi="Arial"/>
          <w:sz w:val="18"/>
          <w:szCs w:val="18"/>
          <w:color w:val="auto"/>
        </w:rPr>
        <w:t>There is no scheduled amortization under the Revolving Credit Facility. The Revolving Credit Facility has a maturity date of January 29, 2021.</w:t>
      </w:r>
    </w:p>
    <w:p>
      <w:pPr>
        <w:spacing w:after="0" w:line="62"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All obligations under the Credit Facilities are unconditionally guaranteed by Bargain Parent, Inc. and certain of Ollie’s Holdings, Inc.’s existing and future direct and indirect wholly-owned domestic subsidiaries. All obligations under the Credit Facilities, and the guarantees of those obligations, are secured, subject to certain exceptions, by substantially all of Ollie’s Holdings, Inc.’s assets and the assets of the guarantors, including:</w:t>
      </w:r>
    </w:p>
    <w:p>
      <w:pPr>
        <w:spacing w:after="0" w:line="79" w:lineRule="exact"/>
        <w:rPr>
          <w:sz w:val="20"/>
          <w:szCs w:val="20"/>
          <w:color w:val="auto"/>
        </w:rPr>
      </w:pPr>
    </w:p>
    <w:p>
      <w:pPr>
        <w:jc w:val="both"/>
        <w:ind w:left="347" w:hanging="347"/>
        <w:spacing w:after="0" w:line="302" w:lineRule="auto"/>
        <w:tabs>
          <w:tab w:leader="none" w:pos="3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first-priority pledge of all of Ollie’s Bargain Outlet, Inc.’s capital stock directly held by Ollie’s Holdings, Inc., a first-priority pledge of all of Ollie’s Holdings, Inc.’s capital stock directly held by Bargain Parent, Inc. and a first-priority pledge of all of the capital stock directly held by Ollie’s Holdings, Inc. and its subsidiary guarantors (which pledge, in the case of the capital stock of any foreign subsidiary or any “disregarded” domestic subsidiary, will be limited to 65% of the stock of such subsidiary); and</w:t>
      </w:r>
    </w:p>
    <w:p>
      <w:pPr>
        <w:spacing w:after="0" w:line="46" w:lineRule="exact"/>
        <w:rPr>
          <w:rFonts w:ascii="Arial" w:cs="Arial" w:eastAsia="Arial" w:hAnsi="Arial"/>
          <w:sz w:val="16"/>
          <w:szCs w:val="16"/>
          <w:color w:val="auto"/>
        </w:rPr>
      </w:pPr>
    </w:p>
    <w:p>
      <w:pPr>
        <w:ind w:left="347" w:hanging="347"/>
        <w:spacing w:after="0" w:line="277"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first-priority security interest in substantially all of Ollie’s Holdings, Inc.’s and the guarantors’ tangible and intangible assets, including certain deposit accounts.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Credit Facilities contain a number of restrictive covenants that, among other things and subject to certain exceptions, restrict the</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Borrowers’ ability and the ability of its subsidiaries to:</w:t>
      </w:r>
    </w:p>
    <w:p>
      <w:pPr>
        <w:spacing w:after="0" w:line="103" w:lineRule="exact"/>
        <w:rPr>
          <w:sz w:val="20"/>
          <w:szCs w:val="20"/>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on our capital stock or redeem, repurchase or retire our capital stock;</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17"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negative pledge or restrictions on the payment of dividends or payment of other amounts owed to us from our subsidiaries;</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transfer or otherwise dispose of our assets, including capital stock of our subsidiaries;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modify material debt documents and certain other material documents;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our fiscal year;</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payments on material subordinated or other debt.</w:t>
      </w:r>
    </w:p>
    <w:p>
      <w:pPr>
        <w:spacing w:after="0" w:line="117" w:lineRule="exact"/>
        <w:rPr>
          <w:sz w:val="20"/>
          <w:szCs w:val="20"/>
          <w:color w:val="auto"/>
        </w:rPr>
      </w:pPr>
    </w:p>
    <w:p>
      <w:pPr>
        <w:jc w:val="both"/>
        <w:ind w:left="7" w:right="20"/>
        <w:spacing w:after="0" w:line="277" w:lineRule="auto"/>
        <w:rPr>
          <w:sz w:val="20"/>
          <w:szCs w:val="20"/>
          <w:color w:val="auto"/>
        </w:rPr>
      </w:pPr>
      <w:r>
        <w:rPr>
          <w:rFonts w:ascii="Arial" w:cs="Arial" w:eastAsia="Arial" w:hAnsi="Arial"/>
          <w:sz w:val="18"/>
          <w:szCs w:val="18"/>
          <w:color w:val="auto"/>
        </w:rPr>
        <w:t>The financial covenants contained in the Credit Facilities include a consolidated fixed charge coverage ratio test of at least 1.1 to 1.0 and total leverage ratio test of no greater than 3.50 to 1.0.</w:t>
      </w:r>
    </w:p>
    <w:p>
      <w:pPr>
        <w:spacing w:after="0" w:line="62" w:lineRule="exact"/>
        <w:rPr>
          <w:sz w:val="20"/>
          <w:szCs w:val="20"/>
          <w:color w:val="auto"/>
        </w:rPr>
      </w:pPr>
    </w:p>
    <w:p>
      <w:pPr>
        <w:jc w:val="both"/>
        <w:ind w:left="7"/>
        <w:spacing w:after="0" w:line="273" w:lineRule="auto"/>
        <w:rPr>
          <w:sz w:val="20"/>
          <w:szCs w:val="20"/>
          <w:color w:val="auto"/>
        </w:rPr>
      </w:pPr>
      <w:r>
        <w:rPr>
          <w:rFonts w:ascii="Arial" w:cs="Arial" w:eastAsia="Arial" w:hAnsi="Arial"/>
          <w:sz w:val="17"/>
          <w:szCs w:val="17"/>
          <w:color w:val="auto"/>
        </w:rPr>
        <w:t>The Credit Facilities also contain certain customary representations and warranties, affirmative covenants and reporting obligations. In addition, the lenders under the Credit Facilities will be permitted to accelerate the loans and terminate commitments thereunder or exercise other specified remedies available to secured creditors upon the occurrence of certain events of default, subject to certain grace periods and exceptions, which will include, among others, payment defaults, breaches of representations and warranties, covenant defaults, cross-defaults to certain material indebtedness, certain events of bankruptcy and insolvency, certain pension plan related events, material judgments and any change of control.</w:t>
      </w:r>
    </w:p>
    <w:p>
      <w:pPr>
        <w:spacing w:after="0" w:line="70" w:lineRule="exact"/>
        <w:rPr>
          <w:sz w:val="20"/>
          <w:szCs w:val="20"/>
          <w:color w:val="auto"/>
        </w:rPr>
      </w:pPr>
    </w:p>
    <w:p>
      <w:pPr>
        <w:jc w:val="both"/>
        <w:ind w:left="7" w:right="20"/>
        <w:spacing w:after="0" w:line="279" w:lineRule="auto"/>
        <w:rPr>
          <w:sz w:val="20"/>
          <w:szCs w:val="20"/>
          <w:color w:val="auto"/>
        </w:rPr>
      </w:pPr>
      <w:r>
        <w:rPr>
          <w:rFonts w:ascii="Arial" w:cs="Arial" w:eastAsia="Arial" w:hAnsi="Arial"/>
          <w:sz w:val="17"/>
          <w:szCs w:val="17"/>
          <w:color w:val="auto"/>
        </w:rPr>
        <w:t>As of February 2, 2019, we had no outstanding borrowings on the Term Loan Facility and no outstanding borrowings under the Revolving Credit Facility, with $98.9 million of borrowing availability. The Revolving Credit Facility also contains a variable unused line fee ranging from 0.250% to 0.375% per annum. We incurred unused line fees of $0.2 million, $0.3 million and $0.3 million for 2018, 2017 and 2016, respectively. The loans under the Credit Facilities mature on January 29, 2021.</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Share Repurchase Authorization</w:t>
      </w:r>
    </w:p>
    <w:p>
      <w:pPr>
        <w:spacing w:after="0" w:line="121" w:lineRule="exact"/>
        <w:rPr>
          <w:sz w:val="20"/>
          <w:szCs w:val="20"/>
          <w:color w:val="auto"/>
        </w:rPr>
      </w:pPr>
    </w:p>
    <w:p>
      <w:pPr>
        <w:jc w:val="both"/>
        <w:ind w:left="7"/>
        <w:spacing w:after="0" w:line="270" w:lineRule="auto"/>
        <w:rPr>
          <w:sz w:val="20"/>
          <w:szCs w:val="20"/>
          <w:color w:val="auto"/>
        </w:rPr>
      </w:pPr>
      <w:r>
        <w:rPr>
          <w:rFonts w:ascii="Arial" w:cs="Arial" w:eastAsia="Arial" w:hAnsi="Arial"/>
          <w:sz w:val="17"/>
          <w:szCs w:val="17"/>
          <w:color w:val="auto"/>
        </w:rPr>
        <w:t>On March 26, 2019, the Board of Directors of the Company authorized the repurchase of up to $100.0 million of the Company’s common stock. The shares to be repurchased may be purchased from time to time in open market conditions (including blocks or in privately negotiated transactions).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has a two-year term, and is subject to suspension or termination by the Company’s Board of Directors at any time.</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7"/>
          <w:szCs w:val="17"/>
          <w:color w:val="auto"/>
        </w:rPr>
        <w:t>We enter into long-term contractual obligations and commitments in the normal course of business, primarily operating leases.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color w:val="auto"/>
        </w:rPr>
        <w:t>As of February 2, 2019, our contractual lease obligations were:</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1-3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Thereafter</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Lease obligations</w:t>
            </w:r>
            <w:r>
              <w:rPr>
                <w:rFonts w:ascii="Arial" w:cs="Arial" w:eastAsia="Arial" w:hAnsi="Arial"/>
                <w:sz w:val="28"/>
                <w:szCs w:val="28"/>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308,954</w:t>
            </w:r>
          </w:p>
        </w:tc>
        <w:tc>
          <w:tcPr>
            <w:tcW w:w="100" w:type="dxa"/>
            <w:vAlign w:val="bottom"/>
            <w:shd w:val="clear" w:color="auto" w:fill="CCEEFF"/>
          </w:tcPr>
          <w:p>
            <w:pPr>
              <w:spacing w:after="0"/>
              <w:rPr>
                <w:sz w:val="21"/>
                <w:szCs w:val="21"/>
                <w:color w:val="auto"/>
              </w:rPr>
            </w:pPr>
          </w:p>
        </w:tc>
      </w:tr>
      <w:tr>
        <w:trPr>
          <w:trHeight w:val="237"/>
        </w:trPr>
        <w:tc>
          <w:tcPr>
            <w:tcW w:w="406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r>
      <w:tr>
        <w:trPr>
          <w:trHeight w:val="243"/>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lease interest and fees</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4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61,155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105,577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77,769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65,218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309,719</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initial lease term and optional renewal terms that are reasonably assured and are included in the lease term of our store and distribution center leases in accordance with accounting guidance related to leases.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7"/>
        <w:spacing w:after="0" w:line="286" w:lineRule="auto"/>
        <w:rPr>
          <w:sz w:val="20"/>
          <w:szCs w:val="20"/>
          <w:color w:val="auto"/>
        </w:rPr>
      </w:pPr>
      <w:r>
        <w:rPr>
          <w:rFonts w:ascii="Arial" w:cs="Arial" w:eastAsia="Arial" w:hAnsi="Arial"/>
          <w:sz w:val="17"/>
          <w:szCs w:val="17"/>
          <w:color w:val="auto"/>
        </w:rPr>
        <w:t>Except for operating leases entered into in the normal course of business, 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7"/>
        <w:spacing w:after="0" w:line="290" w:lineRule="auto"/>
        <w:rPr>
          <w:sz w:val="20"/>
          <w:szCs w:val="20"/>
          <w:color w:val="auto"/>
        </w:rPr>
      </w:pPr>
      <w:r>
        <w:rPr>
          <w:rFonts w:ascii="Arial" w:cs="Arial" w:eastAsia="Arial" w:hAnsi="Arial"/>
          <w:sz w:val="16"/>
          <w:szCs w:val="16"/>
          <w:color w:val="auto"/>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less impacted than other retailers by economic cycles which correspond with declines in general consumer spending habits and we believe we still benefit from periods of increased consumer spending.</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7"/>
        <w:spacing w:after="0" w:line="273" w:lineRule="auto"/>
        <w:rPr>
          <w:sz w:val="20"/>
          <w:szCs w:val="20"/>
          <w:color w:val="auto"/>
        </w:rPr>
      </w:pPr>
      <w:r>
        <w:rPr>
          <w:rFonts w:ascii="Arial" w:cs="Arial" w:eastAsia="Arial" w:hAnsi="Arial"/>
          <w:sz w:val="17"/>
          <w:szCs w:val="17"/>
          <w:color w:val="auto"/>
        </w:rPr>
        <w:t>Our consolidated financial statements have been prepared in accordance with GAAP. A summary of our significant accounting policies can be found in Note 1 to our audited consolidated financial statements included elsewhere in this Annual Report on Form 10-K. The preparation of these consolidated financial statements requires us to make judgments and estimates that affect the reported amounts of assets, liabilities, revenues, expenses and related disclosures. These judgements and estimates are based on historical and other factors believed to be reasonable under the circumstances. We have identified the policies below as critical to our business operations and understanding of our results of operations.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retail inventory method, which is widely used in the retail industry, inventory is segregated into departments of merchandise having similar characteristics. The valuation of inventories and the resulting gross margin is derived by applying a calculated cost-to-retail ratio to the retail value of inventories, for each department.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Inherent in the retail inventory method are certain management judgments and estimates including, among others, merchandise markups, the amount and timing of permanent markdowns, and shrinkage, which may significantly impact both the ending inventory valuation and gross margin.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Factors considered in the determination of permanent markdowns include inventory obsolescence, excess inventories, current and anticipated demand, age of the merchandise and customer preferences. A significant increase in the demand for merchandise could result in a short-term increase in inventory purchases while a significant decrease in demand could result in an increase in the amount of excess inventory quantities on-hand. If our inventory is determined to be overvalued in the future, we would be required to recognize such costs in costs of goods sold and reduce operating income at the time of such determination. Therefore, although every effort is made to ensure the accuracy of forecasts of merchandise demand, any significant unanticipated changes in demand or in economic conditions within our markets could have a significant impact on the value of our inventory and reported operating results. Similarly, if higher than anticipated levels of shrinkage were to occur, it could have a material effect on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Goodwill/Intangible Assets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amortize intangible assets over their useful lives unless we determine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having indefinite useful lives are tested for impairment annually in the fiscal month of October. We have the option to evaluate qualitative factors to determine if it is more likely than not that the carrying amount of our sole reporting unit or our nonamortizing intangible assets (consisting of a tradename) exceed their implied respective fair value and whether it is necessary to perform a quantitative analysis to determine impairment. As part of this qualitative assessment, we weigh the relative impact of factors that are specific to our sole reporting unit or our nonamortizing intangible assets as well as industry, regulatory and macroeconomic factors that could affect the inputs used to determine the fair value of the assets.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management determines a quantitative goodwill impairment test is required, or it elects to perform a quantitative test, the test is performed by determining the fair value of our sole reporting unit. Fair value is determined based upon our public market capitalization. The quantitative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Company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residual fair value after the allocation is the implied fair value of the reporting unit’s goodwill.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For 2018, 2017 and 2016, we completed an impairment test of our goodwill and determined that no impairment of goodwill existed.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management determines a quantitative analysis of intangible assets having indefinite useful lives is required, the test is performed using the discounted cash flow method based on management’s projection of future revenues and an estimated royalty rate to determine the fair value of the asset, specifically, our tradename. An impairment loss is recognized for any excess of the carrying amount of the asset over the implied fair value of that asset.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2018, 2017 and 2016, we completed an impairment test of our tradename and determined that no impairment of the asset existed.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with determinable useful lives are amortized over their estimated useful lives and reviewed for impairment whenever events or changes in circumstances indicate that the carrying amount may not be recoverable.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policy is to conduct impairment testing based on our most current business plans, which reflect anticipated changes in the economy and the retail industry. Should significant changes in our overall business strategy, future results or economic events cause us to adjust our projected cash flows, future estimates of fair value may not support the carrying amount of these assets. If actual results prove inconsistent with our assumptions and judgments, we could be exposed to an impairment charge.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Recently issued accounting standards are discussed in Note 1(v) to the audited consolidated financial statements included elsewhere in this Annual Report on Form 10-K.</w:t>
      </w:r>
    </w:p>
    <w:p>
      <w:pPr>
        <w:spacing w:after="0" w:line="58"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Risks </w:t>
      </w:r>
      <w:r>
        <w:rPr>
          <w:rFonts w:ascii="Arial" w:cs="Arial" w:eastAsia="Arial" w:hAnsi="Arial"/>
          <w:sz w:val="18"/>
          <w:szCs w:val="18"/>
          <w:b w:val="1"/>
          <w:bCs w:val="1"/>
          <w:i w:val="1"/>
          <w:iCs w:val="1"/>
          <w:color w:val="auto"/>
        </w:rPr>
        <w:t>Interest Rate Risk</w:t>
      </w:r>
    </w:p>
    <w:p>
      <w:pPr>
        <w:jc w:val="both"/>
        <w:spacing w:after="0" w:line="273" w:lineRule="auto"/>
        <w:rPr>
          <w:sz w:val="20"/>
          <w:szCs w:val="20"/>
          <w:color w:val="auto"/>
        </w:rPr>
      </w:pPr>
      <w:r>
        <w:rPr>
          <w:rFonts w:ascii="Arial" w:cs="Arial" w:eastAsia="Arial" w:hAnsi="Arial"/>
          <w:sz w:val="17"/>
          <w:szCs w:val="17"/>
          <w:color w:val="auto"/>
        </w:rPr>
        <w:t>Our operating results are subject to risk from interest rate fluctuations on our Credit Facilities, which carry variable interest rates. Our Credit Facilities include a Term Loan Facility and a Revolving Credit Facility with advances tied to a borrowing base. Because our Credit Facilities bear interest at a variable rate, we are exposed to market risks relating to changes in interest rates. As of February 2, 2019, we had no outstanding variable rate debt under our Revolving Credit Facility and no outstanding variable rate debt under our Term Loan Facility, which was paid in full in 2018. We do not use derivative financial instruments for speculative or trading purposes, but this does not preclude our adoption of specific hedging strategies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340" w:type="dxa"/>
            <w:vAlign w:val="bottom"/>
            <w:gridSpan w:val="9"/>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0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8080" w:type="dxa"/>
            <w:vAlign w:val="bottom"/>
            <w:gridSpan w:val="10"/>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00" w:type="dxa"/>
            <w:vAlign w:val="bottom"/>
            <w:gridSpan w:val="8"/>
          </w:tcPr>
          <w:p>
            <w:pPr>
              <w:jc w:val="center"/>
              <w:ind w:right="920"/>
              <w:spacing w:after="0"/>
              <w:rPr>
                <w:sz w:val="20"/>
                <w:szCs w:val="20"/>
                <w:color w:val="auto"/>
              </w:rPr>
            </w:pPr>
            <w:r>
              <w:rPr>
                <w:rFonts w:ascii="Arial" w:cs="Arial" w:eastAsia="Arial" w:hAnsi="Arial"/>
                <w:sz w:val="18"/>
                <w:szCs w:val="18"/>
                <w:b w:val="1"/>
                <w:bCs w:val="1"/>
                <w:color w:val="auto"/>
              </w:rPr>
              <w:t>OLLIE’S BARGAIN OUTLET HOLDINGS, INC. AND SUBSIDIARIES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740" w:type="dxa"/>
            <w:vAlign w:val="bottom"/>
            <w:gridSpan w:val="7"/>
          </w:tcPr>
          <w:p>
            <w:pPr>
              <w:jc w:val="center"/>
              <w:ind w:right="2480"/>
              <w:spacing w:after="0"/>
              <w:rPr>
                <w:sz w:val="20"/>
                <w:szCs w:val="20"/>
                <w:color w:val="auto"/>
              </w:rPr>
            </w:pPr>
            <w:r>
              <w:rPr>
                <w:rFonts w:ascii="Arial" w:cs="Arial" w:eastAsia="Arial" w:hAnsi="Arial"/>
                <w:sz w:val="18"/>
                <w:szCs w:val="18"/>
                <w:color w:val="auto"/>
                <w:w w:val="90"/>
              </w:rPr>
              <w:t>Index to Consolidated Financial Statements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7"/>
        </w:trPr>
        <w:tc>
          <w:tcPr>
            <w:tcW w:w="20" w:type="dxa"/>
            <w:vAlign w:val="bottom"/>
            <w:tcBorders>
              <w:bottom w:val="single" w:sz="8" w:color="0000EE"/>
            </w:tcBorders>
          </w:tcPr>
          <w:p>
            <w:pPr>
              <w:spacing w:after="0"/>
              <w:rPr>
                <w:sz w:val="18"/>
                <w:szCs w:val="18"/>
                <w:color w:val="auto"/>
              </w:rPr>
            </w:pPr>
          </w:p>
        </w:tc>
        <w:tc>
          <w:tcPr>
            <w:tcW w:w="4200" w:type="dxa"/>
            <w:vAlign w:val="bottom"/>
            <w:tcBorders>
              <w:bottom w:val="single" w:sz="8" w:color="0000EE"/>
            </w:tcBorders>
            <w:gridSpan w:val="8"/>
            <w:shd w:val="clear" w:color="auto" w:fill="CCEEFF"/>
          </w:tcPr>
          <w:p>
            <w:pPr>
              <w:spacing w:after="0" w:line="18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Report of Independent Registered Public Accounting Firm</w:t>
              </w:r>
            </w:hyperlink>
          </w:p>
        </w:tc>
        <w:tc>
          <w:tcPr>
            <w:tcW w:w="4660" w:type="dxa"/>
            <w:vAlign w:val="bottom"/>
            <w:tcBorders>
              <w:bottom w:val="single" w:sz="8" w:color="CCEEFF"/>
            </w:tcBorders>
            <w:gridSpan w:val="6"/>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0000EE"/>
            </w:tcBorders>
            <w:shd w:val="clear" w:color="auto" w:fill="CCEEFF"/>
          </w:tcPr>
          <w:p>
            <w:pPr>
              <w:jc w:val="right"/>
              <w:spacing w:after="0" w:line="18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44</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0" w:type="dxa"/>
            <w:vAlign w:val="bottom"/>
            <w:tcBorders>
              <w:bottom w:val="single" w:sz="8" w:color="0000EE"/>
            </w:tcBorders>
            <w:gridSpan w:val="10"/>
            <w:shd w:val="clear" w:color="auto" w:fill="CCEEFF"/>
          </w:tcPr>
          <w:p>
            <w:pPr>
              <w:spacing w:after="0" w:line="195"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Income for the fiscal years ended February 2, 2019, February 3, 2018 and January 28,</w:t>
              </w:r>
            </w:hyperlink>
          </w:p>
        </w:tc>
        <w:tc>
          <w:tcPr>
            <w:tcW w:w="500" w:type="dxa"/>
            <w:vAlign w:val="bottom"/>
            <w:tcBorders>
              <w:bottom w:val="single" w:sz="8" w:color="CCEEFF"/>
            </w:tcBorders>
            <w:gridSpan w:val="3"/>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4"/>
            <w:shd w:val="clear" w:color="auto" w:fill="CCEEFF"/>
          </w:tcPr>
          <w:p>
            <w:pPr>
              <w:ind w:left="34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2017</w:t>
              </w:r>
            </w:hyperlink>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13"/>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February 2, 2019 and February 3, 2018</w:t>
              </w:r>
            </w:hyperlink>
          </w:p>
        </w:tc>
        <w:tc>
          <w:tcPr>
            <w:tcW w:w="580" w:type="dxa"/>
            <w:vAlign w:val="bottom"/>
            <w:gridSpan w:val="2"/>
          </w:tcPr>
          <w:p>
            <w:pPr>
              <w:jc w:val="right"/>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13"/>
            <w:shd w:val="clear" w:color="auto" w:fill="CCEEFF"/>
          </w:tcPr>
          <w:p>
            <w:pPr>
              <w:spacing w:after="0" w:line="189"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Consolidated Statements of Stockholders’ Equity for the fiscal years ended February 2, 2019, February 3, 2018 and</w:t>
              </w:r>
            </w:hyperlink>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12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January 28, 2017</w:t>
              </w:r>
            </w:hyperlink>
          </w:p>
        </w:tc>
        <w:tc>
          <w:tcPr>
            <w:tcW w:w="40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13"/>
          </w:tcPr>
          <w:p>
            <w:pPr>
              <w:spacing w:after="0" w:line="189"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Consolidated Statements of Cash Flows for the fiscal years ended February 2, 2019, February 3, 2018 and January 28,</w:t>
              </w:r>
            </w:hyperlink>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spacing w:after="0"/>
              <w:rPr>
                <w:sz w:val="17"/>
                <w:szCs w:val="17"/>
                <w:color w:val="auto"/>
              </w:rPr>
            </w:pPr>
          </w:p>
        </w:tc>
        <w:tc>
          <w:tcPr>
            <w:tcW w:w="620" w:type="dxa"/>
            <w:vAlign w:val="bottom"/>
            <w:tcBorders>
              <w:top w:val="single" w:sz="8" w:color="0000EE"/>
            </w:tcBorders>
            <w:gridSpan w:val="3"/>
          </w:tcPr>
          <w:p>
            <w:pPr>
              <w:ind w:left="18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2017</w:t>
              </w:r>
            </w:hyperlink>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14"/>
            <w:shd w:val="clear" w:color="auto" w:fill="CCEEFF"/>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580" w:type="dxa"/>
            <w:vAlign w:val="bottom"/>
            <w:gridSpan w:val="2"/>
            <w:shd w:val="clear" w:color="auto" w:fill="CCEEFF"/>
          </w:tcPr>
          <w:p>
            <w:pPr>
              <w:jc w:val="right"/>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4320" w:type="dxa"/>
            <w:vAlign w:val="bottom"/>
            <w:tcBorders>
              <w:bottom w:val="single" w:sz="8" w:color="0000EE"/>
            </w:tcBorders>
            <w:gridSpan w:val="9"/>
          </w:tcPr>
          <w:p>
            <w:pPr>
              <w:spacing w:after="0" w:line="189"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Schedule I – Condensed Financial Information of Registrant</w:t>
              </w:r>
            </w:hyperlink>
          </w:p>
        </w:tc>
        <w:tc>
          <w:tcPr>
            <w:tcW w:w="4540" w:type="dxa"/>
            <w:vAlign w:val="bottom"/>
            <w:gridSpan w:val="5"/>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9"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gridSpan w:val="6"/>
          </w:tcPr>
          <w:p>
            <w:pPr>
              <w:jc w:val="center"/>
              <w:ind w:left="3130"/>
              <w:spacing w:after="0"/>
              <w:rPr>
                <w:sz w:val="20"/>
                <w:szCs w:val="20"/>
                <w:color w:val="auto"/>
              </w:rPr>
            </w:pPr>
            <w:r>
              <w:rPr>
                <w:rFonts w:ascii="Arial" w:cs="Arial" w:eastAsia="Arial" w:hAnsi="Arial"/>
                <w:sz w:val="18"/>
                <w:szCs w:val="18"/>
                <w:color w:val="auto"/>
                <w:w w:val="89"/>
              </w:rPr>
              <w:t>43</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Ollie’s Bargain Outlet Holdings, Inc. and subsidiaries (the Company) as of February 2, 2019 and February 3, 2018, and the related consolidated statements of income, stockholders’ equity, and cash flows for each of the fiscal years in the three-year period ended February 2, 2019, and the related notes and the consolidated financial statement schedule, “Schedule I—Condensed Financial Information of Registrant” (collectively, the consolidated financial statements). In our opinion, the consolidated financial statements present fairly, in all material respects, the financial position of the Company as of February 2, 2019 and February 3, 2018, and the results of its operations and its cash flows for each of the fiscal years in the three-year period ended February 2, 2019, in conformity with U.S. generally accepted accounting principles.</w:t>
      </w:r>
    </w:p>
    <w:p>
      <w:pPr>
        <w:spacing w:after="0" w:line="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February 2, 2019,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issued by the Committee of Sponsoring Organizations of the Treadway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report dated March 29, 2019 expressed an unqualified opinion on the effectiveness of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in the year ended February 2, 2019 due to the adoption of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February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February 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January 28,</w:t>
            </w:r>
          </w:p>
        </w:tc>
      </w:t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1,241,377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890,315</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743,726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645,385</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529,904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431,647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360,411</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312,790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278,174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242,891</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100" w:type="dxa"/>
            <w:vAlign w:val="bottom"/>
            <w:shd w:val="clear" w:color="auto" w:fill="CCEEFF"/>
          </w:tcPr>
          <w:p>
            <w:pPr>
              <w:spacing w:after="0"/>
              <w:rPr>
                <w:sz w:val="22"/>
                <w:szCs w:val="22"/>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Pre-opening expenses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135,756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160,643</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130,487</w:t>
            </w: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96,259</w:t>
            </w:r>
          </w:p>
        </w:tc>
        <w:tc>
          <w:tcPr>
            <w:tcW w:w="10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135,013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127,594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59,764</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62,415</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4680" w:right="4700" w:hanging="4690"/>
        <w:spacing w:after="0" w:line="624" w:lineRule="auto"/>
        <w:rPr>
          <w:sz w:val="20"/>
          <w:szCs w:val="20"/>
          <w:color w:val="auto"/>
        </w:rPr>
      </w:pPr>
      <w:r>
        <w:rPr>
          <w:rFonts w:ascii="Arial" w:cs="Arial" w:eastAsia="Arial" w:hAnsi="Arial"/>
          <w:sz w:val="16"/>
          <w:szCs w:val="16"/>
          <w:color w:val="auto"/>
        </w:rPr>
        <w:t>See accompanying notes to the consolidated financial statements.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February 3,</w:t>
            </w:r>
          </w:p>
        </w:tc>
      </w:tr>
      <w:tr>
        <w:trPr>
          <w:trHeight w:val="178"/>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ind w:left="32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296,407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255,185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303,676</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Property and equipment, net of accumulated depreciation of $60,433 and $50,076, respectively</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119,052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54,888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444,850</w:t>
            </w:r>
          </w:p>
        </w:tc>
        <w:tc>
          <w:tcPr>
            <w:tcW w:w="100" w:type="dxa"/>
            <w:vAlign w:val="bottom"/>
            <w:shd w:val="clear" w:color="auto" w:fill="CCEEFF"/>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Trade name and other intangible assets, net of accumulated amortization of $2,160 and $1,825,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232,304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232,639</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1,159,003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1,038,199</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74,206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136,726</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59,073</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216,351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241,737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Preferred stock - 50,000 shares authorized at $0.001 par value; no shares issued</w:t>
            </w:r>
          </w:p>
        </w:tc>
        <w:tc>
          <w:tcPr>
            <w:tcW w:w="14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Common stock - 500,000 shares authorized at $0.001 par value; 63,015 and 62,007 shares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respectively</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600,234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583,467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Treasury - common stock, at cost; 9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37"/>
        </w:trPr>
        <w:tc>
          <w:tcPr>
            <w:tcW w:w="20" w:type="dxa"/>
            <w:vAlign w:val="bottom"/>
          </w:tcPr>
          <w:p>
            <w:pPr>
              <w:spacing w:after="0"/>
              <w:rPr>
                <w:sz w:val="20"/>
                <w:szCs w:val="20"/>
                <w:color w:val="auto"/>
              </w:rPr>
            </w:pPr>
          </w:p>
        </w:tc>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942,652</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1,159,003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1,038,199</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80" w:right="4700" w:hanging="4690"/>
        <w:spacing w:after="0" w:line="624" w:lineRule="auto"/>
        <w:rPr>
          <w:sz w:val="20"/>
          <w:szCs w:val="20"/>
          <w:color w:val="auto"/>
        </w:rPr>
      </w:pPr>
      <w:r>
        <w:rPr>
          <w:rFonts w:ascii="Arial" w:cs="Arial" w:eastAsia="Arial" w:hAnsi="Arial"/>
          <w:sz w:val="16"/>
          <w:szCs w:val="16"/>
          <w:color w:val="auto"/>
        </w:rPr>
        <w:t>See accompanying notes to the consolidated financial statements.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0"/>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5"/>
                <w:szCs w:val="5"/>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Retained</w:t>
            </w: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30,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58,807</w:t>
            </w:r>
          </w:p>
        </w:tc>
        <w:tc>
          <w:tcPr>
            <w:tcW w:w="1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59</w:t>
            </w:r>
          </w:p>
        </w:tc>
        <w:tc>
          <w:tcPr>
            <w:tcW w:w="8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$ 536,315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8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Excess tax benefit related to exercises of stock</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options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Balance as of January 28, 2017</w:t>
            </w:r>
          </w:p>
        </w:tc>
        <w:tc>
          <w:tcPr>
            <w:tcW w:w="620" w:type="dxa"/>
            <w:vAlign w:val="bottom"/>
          </w:tcPr>
          <w:p>
            <w:pPr>
              <w:jc w:val="right"/>
              <w:spacing w:after="0"/>
              <w:rPr>
                <w:sz w:val="20"/>
                <w:szCs w:val="20"/>
                <w:color w:val="auto"/>
              </w:rPr>
            </w:pPr>
            <w:r>
              <w:rPr>
                <w:rFonts w:ascii="Arial" w:cs="Arial" w:eastAsia="Arial" w:hAnsi="Arial"/>
                <w:sz w:val="18"/>
                <w:szCs w:val="18"/>
                <w:color w:val="auto"/>
              </w:rPr>
              <w:t>60,756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61</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760" w:type="dxa"/>
            <w:vAlign w:val="bottom"/>
          </w:tcPr>
          <w:p>
            <w:pPr>
              <w:jc w:val="right"/>
              <w:spacing w:after="0"/>
              <w:rPr>
                <w:sz w:val="20"/>
                <w:szCs w:val="20"/>
                <w:color w:val="auto"/>
              </w:rPr>
            </w:pPr>
            <w:r>
              <w:rPr>
                <w:rFonts w:ascii="Arial" w:cs="Arial" w:eastAsia="Arial" w:hAnsi="Arial"/>
                <w:sz w:val="18"/>
                <w:szCs w:val="18"/>
                <w:color w:val="auto"/>
              </w:rPr>
              <w:t>565,861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shares withheld for taxes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127,594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Balance as of February 3, 2018</w:t>
            </w:r>
          </w:p>
        </w:tc>
        <w:tc>
          <w:tcPr>
            <w:tcW w:w="620" w:type="dxa"/>
            <w:vAlign w:val="bottom"/>
          </w:tcPr>
          <w:p>
            <w:pPr>
              <w:jc w:val="right"/>
              <w:spacing w:after="0"/>
              <w:rPr>
                <w:sz w:val="20"/>
                <w:szCs w:val="20"/>
                <w:color w:val="auto"/>
              </w:rPr>
            </w:pPr>
            <w:r>
              <w:rPr>
                <w:rFonts w:ascii="Arial" w:cs="Arial" w:eastAsia="Arial" w:hAnsi="Arial"/>
                <w:sz w:val="18"/>
                <w:szCs w:val="18"/>
                <w:color w:val="auto"/>
              </w:rPr>
              <w:t>62,007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62</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760" w:type="dxa"/>
            <w:vAlign w:val="bottom"/>
          </w:tcPr>
          <w:p>
            <w:pPr>
              <w:jc w:val="right"/>
              <w:spacing w:after="0"/>
              <w:rPr>
                <w:sz w:val="20"/>
                <w:szCs w:val="20"/>
                <w:color w:val="auto"/>
              </w:rPr>
            </w:pPr>
            <w:r>
              <w:rPr>
                <w:rFonts w:ascii="Arial" w:cs="Arial" w:eastAsia="Arial" w:hAnsi="Arial"/>
                <w:sz w:val="18"/>
                <w:szCs w:val="18"/>
                <w:color w:val="auto"/>
              </w:rPr>
              <w:t>583,467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213,019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adopting ASU 2014-09</w:t>
            </w:r>
          </w:p>
        </w:tc>
        <w:tc>
          <w:tcPr>
            <w:tcW w:w="6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2)</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(5,591)</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withheld for taxes</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7"/>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2, 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63,015</w:t>
            </w:r>
          </w:p>
        </w:tc>
        <w:tc>
          <w:tcPr>
            <w:tcW w:w="1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63</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$ 600,234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342,441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80" w:right="4700" w:hanging="4690"/>
        <w:spacing w:after="0" w:line="624" w:lineRule="auto"/>
        <w:rPr>
          <w:sz w:val="20"/>
          <w:szCs w:val="20"/>
          <w:color w:val="auto"/>
        </w:rPr>
      </w:pPr>
      <w:r>
        <w:rPr>
          <w:rFonts w:ascii="Arial" w:cs="Arial" w:eastAsia="Arial" w:hAnsi="Arial"/>
          <w:sz w:val="16"/>
          <w:szCs w:val="16"/>
          <w:color w:val="auto"/>
        </w:rPr>
        <w:t>See accompanying notes to the consolidated financial statements.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1"/>
              </w:rPr>
              <w:t>Fiscal year ended</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January</w:t>
            </w:r>
          </w:p>
        </w:tc>
      </w:tr>
      <w:tr>
        <w:trPr>
          <w:trHeight w:val="16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5"/>
              </w:rPr>
              <w:t>February 2,</w:t>
            </w: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February 3,</w:t>
            </w:r>
          </w:p>
        </w:tc>
        <w:tc>
          <w:tcPr>
            <w:tcW w:w="120" w:type="dxa"/>
            <w:vAlign w:val="bottom"/>
          </w:tcPr>
          <w:p>
            <w:pPr>
              <w:spacing w:after="0"/>
              <w:rPr>
                <w:sz w:val="14"/>
                <w:szCs w:val="14"/>
                <w:color w:val="auto"/>
              </w:rPr>
            </w:pPr>
          </w:p>
        </w:tc>
        <w:tc>
          <w:tcPr>
            <w:tcW w:w="660" w:type="dxa"/>
            <w:vAlign w:val="bottom"/>
          </w:tcPr>
          <w:p>
            <w:pPr>
              <w:jc w:val="right"/>
              <w:ind w:right="211"/>
              <w:spacing w:after="0"/>
              <w:rPr>
                <w:sz w:val="20"/>
                <w:szCs w:val="20"/>
                <w:color w:val="auto"/>
              </w:rPr>
            </w:pPr>
            <w:r>
              <w:rPr>
                <w:rFonts w:ascii="Arial" w:cs="Arial" w:eastAsia="Arial" w:hAnsi="Arial"/>
                <w:sz w:val="14"/>
                <w:szCs w:val="14"/>
                <w:b w:val="1"/>
                <w:bCs w:val="1"/>
                <w:color w:val="auto"/>
              </w:rPr>
              <w:t>28,</w:t>
            </w:r>
          </w:p>
        </w:tc>
        <w:tc>
          <w:tcPr>
            <w:tcW w:w="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135,013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127,594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59,764</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10,291</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Amortization of original issue discount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disposal of assets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Deferred income tax provision (benefit)</w:t>
            </w:r>
          </w:p>
        </w:tc>
        <w:tc>
          <w:tcPr>
            <w:tcW w:w="10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(30,323)</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1,867</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6,685</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Excess tax benefit related to exercises of stock options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(9,559)</w:t>
            </w: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(41,222)</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(45,078)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(19,499)</w:t>
            </w: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w:t>
            </w: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(1,822)</w:t>
            </w: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(74,178)</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(19,285)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(16,438)</w:t>
            </w:r>
          </w:p>
        </w:tc>
      </w:tr>
      <w:tr>
        <w:trPr>
          <w:trHeight w:val="237"/>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(73,848)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(19,157)</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(16,423)</w:t>
            </w:r>
          </w:p>
        </w:tc>
      </w:tr>
      <w:tr>
        <w:trPr>
          <w:trHeight w:val="237"/>
        </w:trPr>
        <w:tc>
          <w:tcPr>
            <w:tcW w:w="20" w:type="dxa"/>
            <w:vAlign w:val="bottom"/>
          </w:tcPr>
          <w:p>
            <w:pPr>
              <w:spacing w:after="0"/>
              <w:rPr>
                <w:sz w:val="20"/>
                <w:szCs w:val="20"/>
                <w:color w:val="auto"/>
              </w:rPr>
            </w:pPr>
          </w:p>
        </w:tc>
        <w:tc>
          <w:tcPr>
            <w:tcW w:w="6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on revolving credit facility</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1,321,343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1,142,888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946,683</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Repayments on revolving credit facility</w:t>
            </w:r>
          </w:p>
        </w:tc>
        <w:tc>
          <w:tcPr>
            <w:tcW w:w="100" w:type="dxa"/>
            <w:vAlign w:val="bottom"/>
          </w:tcPr>
          <w:p>
            <w:pPr>
              <w:spacing w:after="0"/>
              <w:rPr>
                <w:sz w:val="20"/>
                <w:szCs w:val="20"/>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w w:val="95"/>
              </w:rPr>
              <w:t>(1,321,343)</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(1,142,888)</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(946,683)</w:t>
            </w: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on term loan and capital leases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(49,001)</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(146,422)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(5,104)</w:t>
            </w:r>
          </w:p>
        </w:tc>
      </w:tr>
      <w:tr>
        <w:trPr>
          <w:trHeight w:val="237"/>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13,304</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shares withheld for taxes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Excess tax benefit related to exercises of stock options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9,559</w:t>
            </w:r>
          </w:p>
        </w:tc>
        <w:tc>
          <w:tcPr>
            <w:tcW w:w="6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(39,524)</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(136,228)</w:t>
            </w: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c>
          <w:tcPr>
            <w:tcW w:w="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4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(59,449)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68,424</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51,941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39,234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98,683</w:t>
            </w:r>
          </w:p>
        </w:tc>
        <w:tc>
          <w:tcPr>
            <w:tcW w:w="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26,112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31,949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24,859</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Accrued purchases of property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4680" w:right="4700" w:hanging="4690"/>
        <w:spacing w:after="0" w:line="624" w:lineRule="auto"/>
        <w:rPr>
          <w:sz w:val="20"/>
          <w:szCs w:val="20"/>
          <w:color w:val="auto"/>
        </w:rPr>
      </w:pPr>
      <w:r>
        <w:rPr>
          <w:rFonts w:ascii="Arial" w:cs="Arial" w:eastAsia="Arial" w:hAnsi="Arial"/>
          <w:sz w:val="16"/>
          <w:szCs w:val="16"/>
          <w:color w:val="auto"/>
        </w:rPr>
        <w:t>See accompanying notes to the consolidated financial statements.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0" w:lineRule="exact"/>
        <w:rPr>
          <w:sz w:val="20"/>
          <w:szCs w:val="20"/>
          <w:color w:val="auto"/>
        </w:rPr>
      </w:pPr>
    </w:p>
    <w:p>
      <w:pPr>
        <w:ind w:left="347" w:hanging="347"/>
        <w:spacing w:after="0"/>
        <w:tabs>
          <w:tab w:leader="none" w:pos="34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rFonts w:ascii="Arial" w:cs="Arial" w:eastAsia="Arial" w:hAnsi="Arial"/>
          <w:sz w:val="18"/>
          <w:szCs w:val="18"/>
          <w:b w:val="1"/>
          <w:bCs w:val="1"/>
          <w:color w:val="auto"/>
        </w:rPr>
      </w:pPr>
    </w:p>
    <w:p>
      <w:pPr>
        <w:ind w:left="707" w:hanging="356"/>
        <w:spacing w:after="0"/>
        <w:tabs>
          <w:tab w:leader="none" w:pos="707"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117" w:lineRule="exact"/>
        <w:rPr>
          <w:rFonts w:ascii="Arial" w:cs="Arial" w:eastAsia="Arial" w:hAnsi="Arial"/>
          <w:sz w:val="18"/>
          <w:szCs w:val="18"/>
          <w:b w:val="1"/>
          <w:bCs w:val="1"/>
          <w:i w:val="1"/>
          <w:iCs w:val="1"/>
          <w:color w:val="auto"/>
        </w:rPr>
      </w:pPr>
    </w:p>
    <w:p>
      <w:pPr>
        <w:jc w:val="both"/>
        <w:ind w:left="727"/>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Ollie’s Bargain Outlet Holdings, Inc. and subsidiaries (collectively referenced to as the “Company” or “Ollie’s”) principally buys overproduced, overstocked and closeout merchandise from manufacturers, wholesalers and other retailers. In addition, the Company augments its name-brand closeout deals with directly sourced private label products featuring names exclusive to Ollie’s in order to provide consistently value-priced goods in select key merchandise categories.</w:t>
      </w:r>
    </w:p>
    <w:p>
      <w:pPr>
        <w:spacing w:after="0" w:line="80" w:lineRule="exact"/>
        <w:rPr>
          <w:rFonts w:ascii="Arial" w:cs="Arial" w:eastAsia="Arial" w:hAnsi="Arial"/>
          <w:sz w:val="18"/>
          <w:szCs w:val="18"/>
          <w:b w:val="1"/>
          <w:bCs w:val="1"/>
          <w:i w:val="1"/>
          <w:iCs w:val="1"/>
          <w:color w:val="auto"/>
        </w:rPr>
      </w:pPr>
    </w:p>
    <w:p>
      <w:pPr>
        <w:jc w:val="both"/>
        <w:ind w:left="727"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Since the first store opened in 1982, the Company has grown to 303 retail locations in 23 states as of February 2, 2019. Ollie’s Bargain Outlet retail locations are located in Alabama, Arkansas, Connecticut, Delaware, Florida, Georgia, Indiana, Kentucky, Louisiana, Maryland, Michigan, Mississippi, New Jersey, New York, North Carolina, Ohio, Pennsylvania, Rhode Island, South Carolina, Tennessee, Texas, Virginia, and West Virginia.</w:t>
      </w:r>
    </w:p>
    <w:p>
      <w:pPr>
        <w:spacing w:after="0" w:line="78" w:lineRule="exact"/>
        <w:rPr>
          <w:rFonts w:ascii="Arial" w:cs="Arial" w:eastAsia="Arial" w:hAnsi="Arial"/>
          <w:sz w:val="18"/>
          <w:szCs w:val="18"/>
          <w:b w:val="1"/>
          <w:bCs w:val="1"/>
          <w:i w:val="1"/>
          <w:iCs w:val="1"/>
          <w:color w:val="auto"/>
        </w:rPr>
      </w:pPr>
    </w:p>
    <w:p>
      <w:pPr>
        <w:ind w:left="707" w:hanging="356"/>
        <w:spacing w:after="0"/>
        <w:tabs>
          <w:tab w:leader="none" w:pos="707"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Year</w:t>
      </w:r>
    </w:p>
    <w:p>
      <w:pPr>
        <w:spacing w:after="0" w:line="117" w:lineRule="exact"/>
        <w:rPr>
          <w:rFonts w:ascii="Arial" w:cs="Arial" w:eastAsia="Arial" w:hAnsi="Arial"/>
          <w:sz w:val="18"/>
          <w:szCs w:val="18"/>
          <w:b w:val="1"/>
          <w:bCs w:val="1"/>
          <w:i w:val="1"/>
          <w:iCs w:val="1"/>
          <w:color w:val="auto"/>
        </w:rPr>
      </w:pPr>
    </w:p>
    <w:p>
      <w:pPr>
        <w:jc w:val="both"/>
        <w:ind w:left="727" w:right="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Ollie’s follows a 52/53-week fiscal year, which ends on the Saturday nearer January 31 of the following calendar year. References to the fiscal year ended February 2, 2019 refer to the 52-week period from February 4, 2018 to February 2, 2019 (“2018”). References to the fiscal year ended February 3, 2018 refer to the 53-week period from January 29, 2017 to February 3, 2018 (“2017”). References to the fiscal year ended January 28, 2017 refer to the 52-week period from January 31, 2016 to January 28, 2017 (“2016”).</w:t>
      </w:r>
    </w:p>
    <w:p>
      <w:pPr>
        <w:spacing w:after="0" w:line="80" w:lineRule="exact"/>
        <w:rPr>
          <w:rFonts w:ascii="Arial" w:cs="Arial" w:eastAsia="Arial" w:hAnsi="Arial"/>
          <w:sz w:val="18"/>
          <w:szCs w:val="18"/>
          <w:b w:val="1"/>
          <w:bCs w:val="1"/>
          <w:i w:val="1"/>
          <w:iCs w:val="1"/>
          <w:color w:val="auto"/>
        </w:rPr>
      </w:pPr>
    </w:p>
    <w:p>
      <w:pPr>
        <w:ind w:left="707" w:hanging="356"/>
        <w:spacing w:after="0"/>
        <w:tabs>
          <w:tab w:leader="none" w:pos="707"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17" w:lineRule="exact"/>
        <w:rPr>
          <w:rFonts w:ascii="Arial" w:cs="Arial" w:eastAsia="Arial" w:hAnsi="Arial"/>
          <w:sz w:val="18"/>
          <w:szCs w:val="18"/>
          <w:b w:val="1"/>
          <w:bCs w:val="1"/>
          <w:i w:val="1"/>
          <w:iCs w:val="1"/>
          <w:color w:val="auto"/>
        </w:rPr>
      </w:pPr>
    </w:p>
    <w:p>
      <w:pPr>
        <w:ind w:left="727" w:right="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consolidated financial statements include the accounts of the Company and its subsidiaries. Intercompany transactions have been eliminated in consolidation.</w:t>
      </w:r>
    </w:p>
    <w:p>
      <w:pPr>
        <w:spacing w:after="0" w:line="62" w:lineRule="exact"/>
        <w:rPr>
          <w:rFonts w:ascii="Arial" w:cs="Arial" w:eastAsia="Arial" w:hAnsi="Arial"/>
          <w:sz w:val="18"/>
          <w:szCs w:val="18"/>
          <w:b w:val="1"/>
          <w:bCs w:val="1"/>
          <w:i w:val="1"/>
          <w:iCs w:val="1"/>
          <w:color w:val="auto"/>
        </w:rPr>
      </w:pPr>
    </w:p>
    <w:p>
      <w:pPr>
        <w:ind w:left="707" w:hanging="356"/>
        <w:spacing w:after="0"/>
        <w:tabs>
          <w:tab w:leader="none" w:pos="707"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rFonts w:ascii="Arial" w:cs="Arial" w:eastAsia="Arial" w:hAnsi="Arial"/>
          <w:sz w:val="18"/>
          <w:szCs w:val="18"/>
          <w:b w:val="1"/>
          <w:bCs w:val="1"/>
          <w:i w:val="1"/>
          <w:iCs w:val="1"/>
          <w:color w:val="auto"/>
        </w:rPr>
      </w:pPr>
    </w:p>
    <w:p>
      <w:pPr>
        <w:jc w:val="both"/>
        <w:ind w:left="727"/>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rFonts w:ascii="Arial" w:cs="Arial" w:eastAsia="Arial" w:hAnsi="Arial"/>
          <w:sz w:val="18"/>
          <w:szCs w:val="18"/>
          <w:b w:val="1"/>
          <w:bCs w:val="1"/>
          <w:i w:val="1"/>
          <w:iCs w:val="1"/>
          <w:color w:val="auto"/>
        </w:rPr>
      </w:pPr>
    </w:p>
    <w:p>
      <w:pPr>
        <w:ind w:left="707" w:hanging="356"/>
        <w:spacing w:after="0"/>
        <w:tabs>
          <w:tab w:leader="none" w:pos="707"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Disclosures</w:t>
      </w:r>
    </w:p>
    <w:p>
      <w:pPr>
        <w:spacing w:after="0" w:line="117" w:lineRule="exact"/>
        <w:rPr>
          <w:rFonts w:ascii="Arial" w:cs="Arial" w:eastAsia="Arial" w:hAnsi="Arial"/>
          <w:sz w:val="18"/>
          <w:szCs w:val="18"/>
          <w:b w:val="1"/>
          <w:bCs w:val="1"/>
          <w:i w:val="1"/>
          <w:iCs w:val="1"/>
          <w:color w:val="auto"/>
        </w:rPr>
      </w:pPr>
    </w:p>
    <w:p>
      <w:pPr>
        <w:jc w:val="both"/>
        <w:ind w:left="727"/>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Fair value is defined as the price which the Company would receive to sell an asset or pay to transfer a liability (an exit price) in an orderly transaction between market participants on the measurement date. In determining fair value, GAAP establishes a three-level hierarchy used in measuring fair value, as follows:</w:t>
      </w:r>
    </w:p>
    <w:p>
      <w:pPr>
        <w:spacing w:after="0" w:line="73" w:lineRule="exact"/>
        <w:rPr>
          <w:rFonts w:ascii="Arial" w:cs="Arial" w:eastAsia="Arial" w:hAnsi="Arial"/>
          <w:sz w:val="18"/>
          <w:szCs w:val="18"/>
          <w:b w:val="1"/>
          <w:bCs w:val="1"/>
          <w:i w:val="1"/>
          <w:iCs w:val="1"/>
          <w:color w:val="auto"/>
        </w:rPr>
      </w:pPr>
    </w:p>
    <w:p>
      <w:pPr>
        <w:ind w:left="1067" w:hanging="351"/>
        <w:spacing w:after="0"/>
        <w:tabs>
          <w:tab w:leader="none" w:pos="10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Level 1 inputs are quoted prices available for identical assets and liabilities in active markets.</w:t>
      </w:r>
    </w:p>
    <w:p>
      <w:pPr>
        <w:spacing w:after="0" w:line="117" w:lineRule="exact"/>
        <w:rPr>
          <w:rFonts w:ascii="Arial" w:cs="Arial" w:eastAsia="Arial" w:hAnsi="Arial"/>
          <w:sz w:val="18"/>
          <w:szCs w:val="18"/>
          <w:color w:val="auto"/>
        </w:rPr>
      </w:pPr>
    </w:p>
    <w:p>
      <w:pPr>
        <w:jc w:val="both"/>
        <w:ind w:left="1067" w:hanging="351"/>
        <w:spacing w:after="0" w:line="264" w:lineRule="auto"/>
        <w:tabs>
          <w:tab w:leader="none" w:pos="10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Level 2 inputs are observable for the asset or liability, either directly or indirectly, including quoted prices for similar assets and liabilities in active markets or other inputs that are observable or can be corroborated by observable market data.</w:t>
      </w:r>
    </w:p>
    <w:p>
      <w:pPr>
        <w:spacing w:after="0" w:line="73" w:lineRule="exact"/>
        <w:rPr>
          <w:rFonts w:ascii="Arial" w:cs="Arial" w:eastAsia="Arial" w:hAnsi="Arial"/>
          <w:sz w:val="18"/>
          <w:szCs w:val="18"/>
          <w:color w:val="auto"/>
        </w:rPr>
      </w:pPr>
    </w:p>
    <w:p>
      <w:pPr>
        <w:ind w:left="1067" w:hanging="351"/>
        <w:spacing w:after="0"/>
        <w:tabs>
          <w:tab w:leader="none" w:pos="10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Level 3 inputs are less observable and reflect the Company’s assumptions.</w:t>
      </w:r>
    </w:p>
    <w:p>
      <w:pPr>
        <w:spacing w:after="0" w:line="117" w:lineRule="exact"/>
        <w:rPr>
          <w:sz w:val="20"/>
          <w:szCs w:val="20"/>
          <w:color w:val="auto"/>
        </w:rPr>
      </w:pPr>
    </w:p>
    <w:p>
      <w:pPr>
        <w:jc w:val="both"/>
        <w:ind w:left="727"/>
        <w:spacing w:after="0" w:line="302" w:lineRule="auto"/>
        <w:rPr>
          <w:sz w:val="20"/>
          <w:szCs w:val="20"/>
          <w:color w:val="auto"/>
        </w:rPr>
      </w:pPr>
      <w:r>
        <w:rPr>
          <w:rFonts w:ascii="Arial" w:cs="Arial" w:eastAsia="Arial" w:hAnsi="Arial"/>
          <w:sz w:val="16"/>
          <w:szCs w:val="16"/>
          <w:color w:val="auto"/>
        </w:rPr>
        <w:t>Ollie’s financial instruments consist of cash and cash equivalents, accounts receivable, accounts payable and the Company’s credit facilities. The carrying amounts of cash and cash equivalents, accounts receivable and accounts payable approximate fair value because of their short maturities. The carrying amount of the Company’s credit facilities approximates its fair value because the interest rates are adjusted regularly based on current market conditions.</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117" w:lineRule="exact"/>
        <w:rPr>
          <w:rFonts w:ascii="Arial" w:cs="Arial" w:eastAsia="Arial" w:hAnsi="Arial"/>
          <w:sz w:val="18"/>
          <w:szCs w:val="18"/>
          <w:b w:val="1"/>
          <w:bCs w:val="1"/>
          <w:i w:val="1"/>
          <w:iCs w:val="1"/>
          <w:color w:val="auto"/>
        </w:rPr>
      </w:pPr>
    </w:p>
    <w:p>
      <w:pPr>
        <w:jc w:val="both"/>
        <w:ind w:left="7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considers cash on hand in stores, bank deposits, credit card receivables, and all highly liquid investments with remaining maturities of three months or less at the date of acquisition to be cash and cash equivalents. Amounts receivable from credit card issuers are typically converted to cash within one to two business days of the original sales transaction.</w:t>
      </w:r>
    </w:p>
    <w:p>
      <w:pPr>
        <w:spacing w:after="0" w:line="78"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rFonts w:ascii="Arial" w:cs="Arial" w:eastAsia="Arial" w:hAnsi="Arial"/>
          <w:sz w:val="18"/>
          <w:szCs w:val="18"/>
          <w:b w:val="1"/>
          <w:bCs w:val="1"/>
          <w:i w:val="1"/>
          <w:iCs w:val="1"/>
          <w:color w:val="auto"/>
        </w:rPr>
      </w:pPr>
    </w:p>
    <w:p>
      <w:pPr>
        <w:jc w:val="both"/>
        <w:ind w:left="72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this balance, and Ollie’s believes the credit risk to be minimal.</w:t>
      </w:r>
    </w:p>
    <w:p>
      <w:pPr>
        <w:spacing w:after="0" w:line="70"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17" w:lineRule="exact"/>
        <w:rPr>
          <w:rFonts w:ascii="Arial" w:cs="Arial" w:eastAsia="Arial" w:hAnsi="Arial"/>
          <w:sz w:val="18"/>
          <w:szCs w:val="18"/>
          <w:b w:val="1"/>
          <w:bCs w:val="1"/>
          <w:i w:val="1"/>
          <w:iCs w:val="1"/>
          <w:color w:val="auto"/>
        </w:rPr>
      </w:pPr>
    </w:p>
    <w:p>
      <w:pPr>
        <w:jc w:val="both"/>
        <w:ind w:left="720" w:right="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spacing w:after="0" w:line="57" w:lineRule="exact"/>
        <w:rPr>
          <w:rFonts w:ascii="Arial" w:cs="Arial" w:eastAsia="Arial" w:hAnsi="Arial"/>
          <w:sz w:val="18"/>
          <w:szCs w:val="18"/>
          <w:b w:val="1"/>
          <w:bCs w:val="1"/>
          <w:i w:val="1"/>
          <w:iCs w:val="1"/>
          <w:color w:val="auto"/>
        </w:rPr>
      </w:pPr>
    </w:p>
    <w:p>
      <w:pPr>
        <w:jc w:val="both"/>
        <w:ind w:left="720" w:right="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Inherent in the retail inventory method are certain management judgments and estimates including, among others, merchandise markups, the amount and timing of permanent markdowns, and shrinkage, which may significantly impact both the ending inventory valuation and gross margin.</w:t>
      </w:r>
    </w:p>
    <w:p>
      <w:pPr>
        <w:spacing w:after="0" w:line="73" w:lineRule="exact"/>
        <w:rPr>
          <w:rFonts w:ascii="Arial" w:cs="Arial" w:eastAsia="Arial" w:hAnsi="Arial"/>
          <w:sz w:val="18"/>
          <w:szCs w:val="18"/>
          <w:b w:val="1"/>
          <w:bCs w:val="1"/>
          <w:i w:val="1"/>
          <w:iCs w:val="1"/>
          <w:color w:val="auto"/>
        </w:rPr>
      </w:pPr>
    </w:p>
    <w:p>
      <w:pPr>
        <w:jc w:val="both"/>
        <w:ind w:left="7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Factors considered in the determination of permanent markdowns include inventory obsolescence, excess inventories, current and anticipated demand, age of the merchandise and customer preferences. Pursuant to the retail inventory method, permanent markdowns result in the devaluation of inventory and the resulting gross margin reduction is recognized in the period in which the markdown is recorded.</w:t>
      </w:r>
    </w:p>
    <w:p>
      <w:pPr>
        <w:spacing w:after="0" w:line="78"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17" w:lineRule="exact"/>
        <w:rPr>
          <w:rFonts w:ascii="Arial" w:cs="Arial" w:eastAsia="Arial" w:hAnsi="Arial"/>
          <w:sz w:val="18"/>
          <w:szCs w:val="18"/>
          <w:b w:val="1"/>
          <w:bCs w:val="1"/>
          <w:i w:val="1"/>
          <w:iCs w:val="1"/>
          <w:color w:val="auto"/>
        </w:rPr>
      </w:pPr>
    </w:p>
    <w:p>
      <w:pPr>
        <w:jc w:val="both"/>
        <w:ind w:left="72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Property and equipment are stated at original cost less accumulated depreciation and amortization. Depreciation and amortization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is computed on the straight-line method for financial reporting purposes.</w:t>
      </w:r>
    </w:p>
    <w:p>
      <w:pPr>
        <w:spacing w:after="0" w:line="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useful lives for the purpose of computing depreciation and amortization are as follows:</w:t>
      </w:r>
    </w:p>
    <w:p>
      <w:pPr>
        <w:sectPr>
          <w:pgSz w:w="11900" w:h="16838" w:orient="portrait"/>
          <w:cols w:equalWidth="0" w:num="1">
            <w:col w:w="9560"/>
          </w:cols>
          <w:pgMar w:left="1180" w:top="279" w:right="1159" w:bottom="1440" w:gutter="0" w:footer="0" w:header="0"/>
        </w:sectPr>
      </w:pPr>
    </w:p>
    <w:p>
      <w:pPr>
        <w:spacing w:after="0" w:line="7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Software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70"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70"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70"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6"/>
          <w:szCs w:val="16"/>
          <w:color w:val="auto"/>
        </w:rPr>
        <w:t>7-10 years</w:t>
      </w:r>
    </w:p>
    <w:p>
      <w:pPr>
        <w:spacing w:after="0" w:line="59"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70"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Lesser of lease term or useful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w:t>
      </w:r>
    </w:p>
    <w:p>
      <w:pPr>
        <w:spacing w:after="0" w:line="116" w:lineRule="exact"/>
        <w:rPr>
          <w:sz w:val="20"/>
          <w:szCs w:val="20"/>
          <w:color w:val="auto"/>
        </w:rPr>
      </w:pPr>
    </w:p>
    <w:p>
      <w:pPr>
        <w:sectPr>
          <w:pgSz w:w="11900" w:h="16838" w:orient="portrait"/>
          <w:cols w:equalWidth="0" w:num="2">
            <w:col w:w="5360" w:space="720"/>
            <w:col w:w="3480"/>
          </w:cols>
          <w:pgMar w:left="1180" w:top="279" w:right="1159" w:bottom="1440" w:gutter="0" w:footer="0" w:header="0"/>
          <w:type w:val="continuous"/>
        </w:sectPr>
      </w:pPr>
    </w:p>
    <w:p>
      <w:pPr>
        <w:ind w:left="700" w:hanging="356"/>
        <w:spacing w:after="0"/>
        <w:tabs>
          <w:tab w:leader="none" w:pos="7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Goodwill/Intangible Assets</w:t>
      </w:r>
    </w:p>
    <w:p>
      <w:pPr>
        <w:spacing w:after="0" w:line="117" w:lineRule="exact"/>
        <w:rPr>
          <w:rFonts w:ascii="Arial" w:cs="Arial" w:eastAsia="Arial" w:hAnsi="Arial"/>
          <w:sz w:val="18"/>
          <w:szCs w:val="18"/>
          <w:b w:val="1"/>
          <w:bCs w:val="1"/>
          <w:i w:val="1"/>
          <w:iCs w:val="1"/>
          <w:color w:val="auto"/>
        </w:rPr>
      </w:pPr>
    </w:p>
    <w:p>
      <w:pPr>
        <w:jc w:val="both"/>
        <w:ind w:left="7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amortizes intangible assets over their useful lives unless it determines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jc w:val="both"/>
        <w:ind w:left="720"/>
        <w:spacing w:after="0" w:line="272" w:lineRule="auto"/>
        <w:rPr>
          <w:sz w:val="20"/>
          <w:szCs w:val="20"/>
          <w:color w:val="auto"/>
        </w:rPr>
      </w:pPr>
      <w:r>
        <w:rPr>
          <w:rFonts w:ascii="Arial" w:cs="Arial" w:eastAsia="Arial" w:hAnsi="Arial"/>
          <w:sz w:val="17"/>
          <w:szCs w:val="17"/>
          <w:color w:val="auto"/>
        </w:rPr>
        <w:t>Goodwill and intangible assets having indefinite useful lives are tested for impairment annually in the fiscal month of October. The Company has the option to evaluate qualitative factors to determine if it is more likely than not that the carrying amount of its sole reporting unit or its nonamortizing intangible assets (consisting of a tradename) exceed their implied respective fair value and whether it is necessary to perform a quantitative analysis to determine impairment. As part of this qualitative assessment, the Company weighs the relative impact of factors that are specific to its sole reporting unit or its nonamortizing intangible assets as well as industry, regulatory and macroeconomic factors that could affect the inputs used to determine the fair value of the assets.</w:t>
      </w:r>
    </w:p>
    <w:p>
      <w:pPr>
        <w:spacing w:after="0" w:line="70" w:lineRule="exact"/>
        <w:rPr>
          <w:sz w:val="20"/>
          <w:szCs w:val="20"/>
          <w:color w:val="auto"/>
        </w:rPr>
      </w:pPr>
    </w:p>
    <w:p>
      <w:pPr>
        <w:jc w:val="both"/>
        <w:ind w:left="720"/>
        <w:spacing w:after="0" w:line="289" w:lineRule="auto"/>
        <w:rPr>
          <w:sz w:val="20"/>
          <w:szCs w:val="20"/>
          <w:color w:val="auto"/>
        </w:rPr>
      </w:pPr>
      <w:r>
        <w:rPr>
          <w:rFonts w:ascii="Arial" w:cs="Arial" w:eastAsia="Arial" w:hAnsi="Arial"/>
          <w:sz w:val="16"/>
          <w:szCs w:val="16"/>
          <w:color w:val="auto"/>
        </w:rPr>
        <w:t>If management determines a quantitative goodwill impairment test is required, or it elects to perform a quantitative test, the test is performed by determining the fair value of the Company’s sole reporting unit. Fair value is determined based upon the Company’s public market capitalization. The quantitative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Company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residual fair value after the allocation is the implied fair value of the reporting unit’s goodwill.</w:t>
      </w:r>
    </w:p>
    <w:p>
      <w:pPr>
        <w:spacing w:after="0" w:line="59" w:lineRule="exact"/>
        <w:rPr>
          <w:sz w:val="20"/>
          <w:szCs w:val="20"/>
          <w:color w:val="auto"/>
        </w:rPr>
      </w:pPr>
    </w:p>
    <w:p>
      <w:pPr>
        <w:jc w:val="both"/>
        <w:ind w:left="720"/>
        <w:spacing w:after="0" w:line="277" w:lineRule="auto"/>
        <w:rPr>
          <w:sz w:val="20"/>
          <w:szCs w:val="20"/>
          <w:color w:val="auto"/>
        </w:rPr>
      </w:pPr>
      <w:r>
        <w:rPr>
          <w:rFonts w:ascii="Arial" w:cs="Arial" w:eastAsia="Arial" w:hAnsi="Arial"/>
          <w:sz w:val="18"/>
          <w:szCs w:val="18"/>
          <w:color w:val="auto"/>
        </w:rPr>
        <w:t>For 2018, 2017 and 2016, the Company completed an impairment test of its goodwill and determined that no impairment of goodwill existed.</w:t>
      </w:r>
    </w:p>
    <w:p>
      <w:pPr>
        <w:spacing w:after="0" w:line="62" w:lineRule="exact"/>
        <w:rPr>
          <w:sz w:val="20"/>
          <w:szCs w:val="20"/>
          <w:color w:val="auto"/>
        </w:rPr>
      </w:pPr>
    </w:p>
    <w:p>
      <w:pPr>
        <w:jc w:val="both"/>
        <w:ind w:left="720"/>
        <w:spacing w:after="0" w:line="302" w:lineRule="auto"/>
        <w:rPr>
          <w:sz w:val="20"/>
          <w:szCs w:val="20"/>
          <w:color w:val="auto"/>
        </w:rPr>
      </w:pPr>
      <w:r>
        <w:rPr>
          <w:rFonts w:ascii="Arial" w:cs="Arial" w:eastAsia="Arial" w:hAnsi="Arial"/>
          <w:sz w:val="16"/>
          <w:szCs w:val="16"/>
          <w:color w:val="auto"/>
        </w:rPr>
        <w:t>If management determines a quantitative analysis of intangible assets having indefinite useful lives is required, the test is performed using the discounted cash flow method based on management’s projections of future revenues and an estimated royalty rate to determine the fair value of the asset, specifically, the Company’s tradename. An impairment loss is recognized for any excess of the carrying amount of the asset over the implied fair value of that asset.</w:t>
      </w:r>
    </w:p>
    <w:p>
      <w:pPr>
        <w:spacing w:after="0" w:line="46" w:lineRule="exact"/>
        <w:rPr>
          <w:sz w:val="20"/>
          <w:szCs w:val="20"/>
          <w:color w:val="auto"/>
        </w:rPr>
      </w:pPr>
    </w:p>
    <w:p>
      <w:pPr>
        <w:jc w:val="both"/>
        <w:ind w:left="720"/>
        <w:spacing w:after="0" w:line="277" w:lineRule="auto"/>
        <w:rPr>
          <w:sz w:val="20"/>
          <w:szCs w:val="20"/>
          <w:color w:val="auto"/>
        </w:rPr>
      </w:pPr>
      <w:r>
        <w:rPr>
          <w:rFonts w:ascii="Arial" w:cs="Arial" w:eastAsia="Arial" w:hAnsi="Arial"/>
          <w:sz w:val="18"/>
          <w:szCs w:val="18"/>
          <w:color w:val="auto"/>
        </w:rPr>
        <w:t>For 2018, 2017 and 2016, the Company completed an impairment test of its tradename and determined that no impairment of the asset existed.</w:t>
      </w:r>
    </w:p>
    <w:p>
      <w:pPr>
        <w:spacing w:after="0" w:line="62" w:lineRule="exact"/>
        <w:rPr>
          <w:sz w:val="20"/>
          <w:szCs w:val="20"/>
          <w:color w:val="auto"/>
        </w:rPr>
      </w:pPr>
    </w:p>
    <w:p>
      <w:pPr>
        <w:jc w:val="both"/>
        <w:ind w:left="720" w:right="20"/>
        <w:spacing w:after="0" w:line="308" w:lineRule="auto"/>
        <w:rPr>
          <w:sz w:val="20"/>
          <w:szCs w:val="20"/>
          <w:color w:val="auto"/>
        </w:rPr>
      </w:pPr>
      <w:r>
        <w:rPr>
          <w:rFonts w:ascii="Arial" w:cs="Arial" w:eastAsia="Arial" w:hAnsi="Arial"/>
          <w:sz w:val="17"/>
          <w:szCs w:val="17"/>
          <w:color w:val="auto"/>
        </w:rPr>
        <w:t>Intangible assets with determinable useful lives are amortized over their estimated useful lives and reviewed for impairment whenever events or changes in circumstances indicate that the carrying amount may not be recoverable.</w:t>
      </w:r>
    </w:p>
    <w:p>
      <w:pPr>
        <w:spacing w:after="0" w:line="38"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17" w:lineRule="exact"/>
        <w:rPr>
          <w:rFonts w:ascii="Arial" w:cs="Arial" w:eastAsia="Arial" w:hAnsi="Arial"/>
          <w:sz w:val="18"/>
          <w:szCs w:val="18"/>
          <w:b w:val="1"/>
          <w:bCs w:val="1"/>
          <w:i w:val="1"/>
          <w:iCs w:val="1"/>
          <w:color w:val="auto"/>
        </w:rPr>
      </w:pPr>
    </w:p>
    <w:p>
      <w:pPr>
        <w:jc w:val="both"/>
        <w:ind w:left="7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spacing w:after="0" w:line="59"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17" w:lineRule="exact"/>
        <w:rPr>
          <w:rFonts w:ascii="Arial" w:cs="Arial" w:eastAsia="Arial" w:hAnsi="Arial"/>
          <w:sz w:val="18"/>
          <w:szCs w:val="18"/>
          <w:b w:val="1"/>
          <w:bCs w:val="1"/>
          <w:i w:val="1"/>
          <w:iCs w:val="1"/>
          <w:color w:val="auto"/>
        </w:rPr>
      </w:pPr>
    </w:p>
    <w:p>
      <w:pPr>
        <w:jc w:val="both"/>
        <w:ind w:left="72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measures the cost of employee services received in exchange for stock-based compensation based on the grant date fair value of the employee stock award. For stock option awards, the Company estimates grant date fair value using the Black-Scholes option pricing model. For restricted stock unit awards, grant date fair value is determined based on the closing trading value of the Company’s stock on the date of grant. In both cases, stock-based compensation is recorded on a straight-line basis over the vesting period for the entire award.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Sales</w:t>
      </w:r>
    </w:p>
    <w:p>
      <w:pPr>
        <w:spacing w:after="0" w:line="117" w:lineRule="exact"/>
        <w:rPr>
          <w:rFonts w:ascii="Arial" w:cs="Arial" w:eastAsia="Arial" w:hAnsi="Arial"/>
          <w:sz w:val="18"/>
          <w:szCs w:val="18"/>
          <w:b w:val="1"/>
          <w:bCs w:val="1"/>
          <w:i w:val="1"/>
          <w:iCs w:val="1"/>
          <w:color w:val="auto"/>
        </w:rPr>
      </w:pPr>
    </w:p>
    <w:p>
      <w:pPr>
        <w:ind w:left="720" w:right="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Cost of sales includes merchandise costs, inventory markdowns, shrinkage and transportation, distribution and warehousing costs, including depreciation.</w:t>
      </w:r>
    </w:p>
    <w:p>
      <w:pPr>
        <w:spacing w:after="0" w:line="62"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rFonts w:ascii="Arial" w:cs="Arial" w:eastAsia="Arial" w:hAnsi="Arial"/>
          <w:sz w:val="18"/>
          <w:szCs w:val="18"/>
          <w:b w:val="1"/>
          <w:bCs w:val="1"/>
          <w:i w:val="1"/>
          <w:iCs w:val="1"/>
          <w:color w:val="auto"/>
        </w:rPr>
      </w:pPr>
    </w:p>
    <w:p>
      <w:pPr>
        <w:jc w:val="both"/>
        <w:ind w:left="7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Selling, general and administrative expenses (“SG&amp;A”) are comprised of payroll and benefits for stores, field support and support center employees. SG&amp;A also include marketing and advertising expense, occupancy costs for stores and the store support center, insurance, corporate infrastructure and other general expenses.</w:t>
      </w:r>
    </w:p>
    <w:p>
      <w:pPr>
        <w:spacing w:after="0" w:line="73"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117" w:lineRule="exact"/>
        <w:rPr>
          <w:rFonts w:ascii="Arial" w:cs="Arial" w:eastAsia="Arial" w:hAnsi="Arial"/>
          <w:sz w:val="18"/>
          <w:szCs w:val="18"/>
          <w:b w:val="1"/>
          <w:bCs w:val="1"/>
          <w:i w:val="1"/>
          <w:iCs w:val="1"/>
          <w:color w:val="auto"/>
        </w:rPr>
      </w:pPr>
    </w:p>
    <w:p>
      <w:pPr>
        <w:jc w:val="both"/>
        <w:ind w:left="720" w:right="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Advertising costs primarily consist of newspaper circulars, email campaigns, media broadcasts and prominent advertising at professional and collegiate sporting events and are expensed the first time the advertising occurs. Advertising expense for 2018, 2017 and 2016 was $36.7 million, $32.4 million and $28.0 million, respectively.</w:t>
      </w:r>
    </w:p>
    <w:p>
      <w:pPr>
        <w:spacing w:after="0" w:line="57"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7" w:lineRule="exact"/>
        <w:rPr>
          <w:rFonts w:ascii="Arial" w:cs="Arial" w:eastAsia="Arial" w:hAnsi="Arial"/>
          <w:sz w:val="18"/>
          <w:szCs w:val="18"/>
          <w:b w:val="1"/>
          <w:bCs w:val="1"/>
          <w:i w:val="1"/>
          <w:iCs w:val="1"/>
          <w:color w:val="auto"/>
        </w:rPr>
      </w:pPr>
    </w:p>
    <w:p>
      <w:pPr>
        <w:jc w:val="both"/>
        <w:ind w:left="72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generally leases its store locations, distribution centers and office facilities. Many of the lease agreements contain rent holidays, rent escalation clauses and contingent rent provisions—or some combination of these items. For leases of store locations and the store support centers, the Company recognizes rent expense in SG&amp;A. For leases of distribution centers, the Company recognizes rent expense within cost of sales. All rent expense is recorded on a straight-line basis over the accounting lease term, which includes lease renewals determined to be reasonably assured. Additionally, the commencement date of the accounting lease term reflects the earlier of the date the Company becomes legally obligated for the lease payments or the date the Company takes possession of the building for initial construction and setup. The excess rent expense over the actual cash paid for rent is accounted for as deferred rent. Leasehold improvement allowances received from landlords and other lease incentives are recorded as deferred rent liabilities and are recognized in SG&amp;A on a straight-line basis over the accounting lease term.</w:t>
      </w:r>
    </w:p>
    <w:p>
      <w:pPr>
        <w:spacing w:after="0" w:line="61"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Pre-Opening Costs</w:t>
      </w:r>
    </w:p>
    <w:p>
      <w:pPr>
        <w:spacing w:after="0" w:line="117" w:lineRule="exact"/>
        <w:rPr>
          <w:rFonts w:ascii="Arial" w:cs="Arial" w:eastAsia="Arial" w:hAnsi="Arial"/>
          <w:sz w:val="18"/>
          <w:szCs w:val="18"/>
          <w:b w:val="1"/>
          <w:bCs w:val="1"/>
          <w:i w:val="1"/>
          <w:iCs w:val="1"/>
          <w:color w:val="auto"/>
        </w:rPr>
      </w:pPr>
    </w:p>
    <w:p>
      <w:pPr>
        <w:jc w:val="both"/>
        <w:ind w:left="7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Pre-opening costs (costs of opening new stores and distribution facilities, including grand opening advertising costs, payroll expenses, travel expenses, employee training costs, rent expenses, and store setup costs) and store closing costs (insurance deductibles, rent and store payroll) are expensed as incurred.</w:t>
      </w:r>
    </w:p>
    <w:p>
      <w:pPr>
        <w:spacing w:after="0" w:line="73"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 Issuance Costs and Original Issue Discount</w:t>
      </w:r>
    </w:p>
    <w:p>
      <w:pPr>
        <w:spacing w:after="0" w:line="117" w:lineRule="exact"/>
        <w:rPr>
          <w:rFonts w:ascii="Arial" w:cs="Arial" w:eastAsia="Arial" w:hAnsi="Arial"/>
          <w:sz w:val="18"/>
          <w:szCs w:val="18"/>
          <w:b w:val="1"/>
          <w:bCs w:val="1"/>
          <w:i w:val="1"/>
          <w:iCs w:val="1"/>
          <w:color w:val="auto"/>
        </w:rPr>
      </w:pPr>
    </w:p>
    <w:p>
      <w:pPr>
        <w:jc w:val="both"/>
        <w:ind w:left="72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Debt issuance costs and original issue discount are amortized to interest expense using the effective interest method over the life of the related debt. As of February 2, 2019 and February 3, 2018, debt issuance costs, net of accumulated amortization, were $0.8 million and $1.5 million, respectively, and original issue discount, net of accumulated amortization, was $0 and $15,000, respectively. The amortization expense for debt issuance costs was $0.5 million, $0.6 million and $0.7 million and the amortization expense for the original issue discount was $5,000, $17,000 and $25,000 for 2018, 2017 and 2016, respectively. The write-off of unamortized debt issuance and original issue discount costs recorded in loss on extinguishment of debt on the consolidated statements of income totaled $0.2 million, $0.8 million and $0.0 million for 2018, 2017 and 2016, respectively.</w:t>
      </w:r>
    </w:p>
    <w:p>
      <w:pPr>
        <w:spacing w:after="0" w:line="70"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Self-Insurance Liabilities</w:t>
      </w:r>
    </w:p>
    <w:p>
      <w:pPr>
        <w:spacing w:after="0" w:line="117" w:lineRule="exact"/>
        <w:rPr>
          <w:rFonts w:ascii="Arial" w:cs="Arial" w:eastAsia="Arial" w:hAnsi="Arial"/>
          <w:sz w:val="18"/>
          <w:szCs w:val="18"/>
          <w:b w:val="1"/>
          <w:bCs w:val="1"/>
          <w:i w:val="1"/>
          <w:iCs w:val="1"/>
          <w:color w:val="auto"/>
        </w:rPr>
      </w:pPr>
    </w:p>
    <w:p>
      <w:pPr>
        <w:jc w:val="both"/>
        <w:ind w:left="7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Under a number of the Company’s insurance programs, which include the Company’s employee health insurance program, its workers’ compensation and general liability insurance programs, the Company is liable for a portion of its losses. The Company estimates the accrued liabilities for its self-insurance programs using historical claims experience and loss reserves. To limit the Company’s exposure to losses, a stop-loss coverage is maintained through third-party insurers.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rFonts w:ascii="Arial" w:cs="Arial" w:eastAsia="Arial" w:hAnsi="Arial"/>
          <w:sz w:val="18"/>
          <w:szCs w:val="18"/>
          <w:b w:val="1"/>
          <w:bCs w:val="1"/>
          <w:i w:val="1"/>
          <w:iCs w:val="1"/>
          <w:color w:val="auto"/>
        </w:rPr>
      </w:pPr>
    </w:p>
    <w:p>
      <w:pPr>
        <w:jc w:val="both"/>
        <w:ind w:left="7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Company recognizes the effect of income tax positions only if those positions are more likely than not of being sustained. Recognized income tax positions are measured at the largest amount that is greater than 50% likely of being realized.</w:t>
      </w:r>
    </w:p>
    <w:p>
      <w:pPr>
        <w:spacing w:after="0" w:line="59" w:lineRule="exact"/>
        <w:rPr>
          <w:rFonts w:ascii="Arial" w:cs="Arial" w:eastAsia="Arial" w:hAnsi="Arial"/>
          <w:sz w:val="18"/>
          <w:szCs w:val="18"/>
          <w:b w:val="1"/>
          <w:bCs w:val="1"/>
          <w:i w:val="1"/>
          <w:iCs w:val="1"/>
          <w:color w:val="auto"/>
        </w:rPr>
      </w:pPr>
    </w:p>
    <w:p>
      <w:pPr>
        <w:jc w:val="both"/>
        <w:ind w:left="720"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Ollie’s files consolidated federal and state income tax returns. For tax years prior to 2015, the Company is no longer subject to U.S. federal income tax examinations. State income tax returns are filed in various state tax jurisdictions, as appropriate, with varying statutes of limitation and remain subject to examination for varying periods up to three to four years depending on the state.</w:t>
      </w:r>
    </w:p>
    <w:p>
      <w:pPr>
        <w:spacing w:after="0" w:line="78" w:lineRule="exact"/>
        <w:rPr>
          <w:rFonts w:ascii="Arial" w:cs="Arial" w:eastAsia="Arial" w:hAnsi="Arial"/>
          <w:sz w:val="18"/>
          <w:szCs w:val="18"/>
          <w:b w:val="1"/>
          <w:bCs w:val="1"/>
          <w:i w:val="1"/>
          <w:iCs w:val="1"/>
          <w:color w:val="auto"/>
        </w:rPr>
      </w:pPr>
    </w:p>
    <w:p>
      <w:pPr>
        <w:ind w:left="700" w:hanging="356"/>
        <w:spacing w:after="0"/>
        <w:tabs>
          <w:tab w:leader="none" w:pos="7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Common Share</w:t>
      </w:r>
    </w:p>
    <w:p>
      <w:pPr>
        <w:spacing w:after="0" w:line="117" w:lineRule="exact"/>
        <w:rPr>
          <w:rFonts w:ascii="Arial" w:cs="Arial" w:eastAsia="Arial" w:hAnsi="Arial"/>
          <w:sz w:val="18"/>
          <w:szCs w:val="18"/>
          <w:b w:val="1"/>
          <w:bCs w:val="1"/>
          <w:i w:val="1"/>
          <w:iCs w:val="1"/>
          <w:color w:val="auto"/>
        </w:rPr>
      </w:pPr>
    </w:p>
    <w:p>
      <w:pPr>
        <w:jc w:val="both"/>
        <w:ind w:left="7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spacing w:after="0" w:line="80" w:lineRule="exact"/>
        <w:rPr>
          <w:rFonts w:ascii="Arial" w:cs="Arial" w:eastAsia="Arial" w:hAnsi="Arial"/>
          <w:sz w:val="18"/>
          <w:szCs w:val="18"/>
          <w:b w:val="1"/>
          <w:bCs w:val="1"/>
          <w:i w:val="1"/>
          <w:iCs w:val="1"/>
          <w:color w:val="auto"/>
        </w:rPr>
      </w:pPr>
    </w:p>
    <w:p>
      <w:pPr>
        <w:ind w:left="720" w:right="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summarizes those effects for the diluted earnings per common share calculation (in thousands, except per share amounts):</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Fiscal year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3"/>
                <w:szCs w:val="13"/>
                <w:color w:val="auto"/>
              </w:rPr>
            </w:pPr>
          </w:p>
        </w:tc>
        <w:tc>
          <w:tcPr>
            <w:tcW w:w="102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97"/>
              </w:rPr>
              <w:t>February 3,</w:t>
            </w:r>
          </w:p>
        </w:tc>
        <w:tc>
          <w:tcPr>
            <w:tcW w:w="140" w:type="dxa"/>
            <w:vAlign w:val="bottom"/>
          </w:tcPr>
          <w:p>
            <w:pPr>
              <w:spacing w:after="0"/>
              <w:rPr>
                <w:sz w:val="13"/>
                <w:szCs w:val="13"/>
                <w:color w:val="auto"/>
              </w:rPr>
            </w:pPr>
          </w:p>
        </w:tc>
        <w:tc>
          <w:tcPr>
            <w:tcW w:w="9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127,594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61,353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Incremental shares from the assumed exercise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w w:val="95"/>
              </w:rPr>
              <w:t>outstanding stock options and vesting of restricted stock</w:t>
            </w: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units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 –</w:t>
            </w:r>
          </w:p>
        </w:tc>
        <w:tc>
          <w:tcPr>
            <w:tcW w:w="1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64,950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Earnings per common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20" w:right="20"/>
        <w:spacing w:after="0" w:line="286" w:lineRule="auto"/>
        <w:rPr>
          <w:sz w:val="20"/>
          <w:szCs w:val="20"/>
          <w:color w:val="auto"/>
        </w:rPr>
      </w:pPr>
      <w:r>
        <w:rPr>
          <w:rFonts w:ascii="Arial" w:cs="Arial" w:eastAsia="Arial" w:hAnsi="Arial"/>
          <w:sz w:val="17"/>
          <w:szCs w:val="17"/>
          <w:color w:val="auto"/>
        </w:rPr>
        <w:t>The effect of the weighted average assumed exercise of stock options outstanding totaling 100,183, 126,899 and 81,616 as of February 2, 2019, February 3, 2018 and January 28, 2017, respectively, were excluded from the calculation of diluted weighted average common shares outstanding because the effect would have been antidilutive.</w:t>
      </w:r>
    </w:p>
    <w:p>
      <w:pPr>
        <w:spacing w:after="0" w:line="57" w:lineRule="exact"/>
        <w:rPr>
          <w:sz w:val="20"/>
          <w:szCs w:val="20"/>
          <w:color w:val="auto"/>
        </w:rPr>
      </w:pPr>
    </w:p>
    <w:p>
      <w:pPr>
        <w:jc w:val="both"/>
        <w:ind w:left="720"/>
        <w:spacing w:after="0" w:line="264" w:lineRule="auto"/>
        <w:rPr>
          <w:sz w:val="20"/>
          <w:szCs w:val="20"/>
          <w:color w:val="auto"/>
        </w:rPr>
      </w:pPr>
      <w:r>
        <w:rPr>
          <w:rFonts w:ascii="Arial" w:cs="Arial" w:eastAsia="Arial" w:hAnsi="Arial"/>
          <w:sz w:val="18"/>
          <w:szCs w:val="18"/>
          <w:color w:val="auto"/>
        </w:rPr>
        <w:t>The effect of weighted average non-vested restricted stock units outstanding totaling 6,800, 10,169 and 0 as of February 2, 2019, February 3, 2018 and January 28, 2017, respectively, were excluded from the calculation of diluted weighted average common shares outstanding because the effect would have been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727" w:right="6140" w:hanging="376"/>
        <w:spacing w:after="0" w:line="451" w:lineRule="auto"/>
        <w:tabs>
          <w:tab w:leader="none" w:pos="709" w:val="left"/>
        </w:tabs>
        <w:numPr>
          <w:ilvl w:val="1"/>
          <w:numId w:val="3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Recent Accounting Pronouncements </w:t>
      </w:r>
      <w:r>
        <w:rPr>
          <w:rFonts w:ascii="Arial" w:cs="Arial" w:eastAsia="Arial" w:hAnsi="Arial"/>
          <w:sz w:val="15"/>
          <w:szCs w:val="15"/>
          <w:i w:val="1"/>
          <w:iCs w:val="1"/>
          <w:u w:val="single" w:color="auto"/>
          <w:color w:val="auto"/>
        </w:rPr>
        <w:t>Stock Compensation</w:t>
      </w:r>
    </w:p>
    <w:p>
      <w:pPr>
        <w:jc w:val="both"/>
        <w:ind w:left="727"/>
        <w:spacing w:after="0" w:line="269" w:lineRule="auto"/>
        <w:rPr>
          <w:rFonts w:ascii="Arial" w:cs="Arial" w:eastAsia="Arial" w:hAnsi="Arial"/>
          <w:sz w:val="15"/>
          <w:szCs w:val="15"/>
          <w:b w:val="1"/>
          <w:bCs w:val="1"/>
          <w:i w:val="1"/>
          <w:iCs w:val="1"/>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was intended to simplify the accounting for share-based payment award transactions. The update modified several aspects of the accounting and reporting for employee share-based awards, including excess tax benefits and deficiencies; forfeitures; tax withholding requirements and cash flow classification. The Company adopted the new standard during the first quarter of 2017 and has elected to continue with the use of no forfeiture rate estimate in the determination of compensation expense for stock-based compensation awards. Excess tax benefits or deficiencies, historically recorded to additional paid-in capital, are now recorded to income tax expense. See Note 7, “Income Taxes.” In addition, the Company is now presenting the excess tax benefit on stock options exercised and restricted stock awards vested in cash flows from operating activities as opposed to the historical presentation in cash flows from financing activities. Lastly, the update revised the diluted earnings per share calculation to exclude the excess tax benefit which was previously included in the assumed proceeds for share buybacks under the treasury stock method.</w:t>
      </w:r>
    </w:p>
    <w:p>
      <w:pPr>
        <w:spacing w:after="0" w:line="179" w:lineRule="exact"/>
        <w:rPr>
          <w:rFonts w:ascii="Arial" w:cs="Arial" w:eastAsia="Arial" w:hAnsi="Arial"/>
          <w:sz w:val="15"/>
          <w:szCs w:val="15"/>
          <w:b w:val="1"/>
          <w:bCs w:val="1"/>
          <w:i w:val="1"/>
          <w:iCs w:val="1"/>
          <w:color w:val="auto"/>
        </w:rPr>
      </w:pPr>
    </w:p>
    <w:p>
      <w:pPr>
        <w:ind w:left="727"/>
        <w:spacing w:after="0"/>
        <w:rPr>
          <w:rFonts w:ascii="Arial" w:cs="Arial" w:eastAsia="Arial" w:hAnsi="Arial"/>
          <w:sz w:val="15"/>
          <w:szCs w:val="15"/>
          <w:b w:val="1"/>
          <w:bCs w:val="1"/>
          <w:i w:val="1"/>
          <w:iCs w:val="1"/>
          <w:color w:val="auto"/>
        </w:rPr>
      </w:pPr>
      <w:r>
        <w:rPr>
          <w:rFonts w:ascii="Arial" w:cs="Arial" w:eastAsia="Arial" w:hAnsi="Arial"/>
          <w:sz w:val="18"/>
          <w:szCs w:val="18"/>
          <w:i w:val="1"/>
          <w:iCs w:val="1"/>
          <w:u w:val="single" w:color="auto"/>
          <w:color w:val="auto"/>
        </w:rPr>
        <w:t>Leases</w:t>
      </w:r>
    </w:p>
    <w:p>
      <w:pPr>
        <w:spacing w:after="0" w:line="117" w:lineRule="exact"/>
        <w:rPr>
          <w:rFonts w:ascii="Arial" w:cs="Arial" w:eastAsia="Arial" w:hAnsi="Arial"/>
          <w:sz w:val="15"/>
          <w:szCs w:val="15"/>
          <w:b w:val="1"/>
          <w:bCs w:val="1"/>
          <w:i w:val="1"/>
          <w:iCs w:val="1"/>
          <w:color w:val="auto"/>
        </w:rPr>
      </w:pPr>
    </w:p>
    <w:p>
      <w:pPr>
        <w:jc w:val="both"/>
        <w:ind w:left="727"/>
        <w:spacing w:after="0" w:line="286" w:lineRule="auto"/>
        <w:rPr>
          <w:rFonts w:ascii="Arial" w:cs="Arial" w:eastAsia="Arial" w:hAnsi="Arial"/>
          <w:sz w:val="15"/>
          <w:szCs w:val="15"/>
          <w:b w:val="1"/>
          <w:bCs w:val="1"/>
          <w:i w:val="1"/>
          <w:iCs w:val="1"/>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requires that lease arrangements longer than 12 months result in an entity recognizing a right-of-use asset and lease liability. The updated guidance is effective for interim and annual periods beginning after December 15, 2018, with early adoption permitted.</w:t>
      </w:r>
    </w:p>
    <w:p>
      <w:pPr>
        <w:spacing w:after="0" w:line="57" w:lineRule="exact"/>
        <w:rPr>
          <w:rFonts w:ascii="Arial" w:cs="Arial" w:eastAsia="Arial" w:hAnsi="Arial"/>
          <w:sz w:val="15"/>
          <w:szCs w:val="15"/>
          <w:b w:val="1"/>
          <w:bCs w:val="1"/>
          <w:i w:val="1"/>
          <w:iCs w:val="1"/>
          <w:color w:val="auto"/>
        </w:rPr>
      </w:pPr>
    </w:p>
    <w:p>
      <w:pPr>
        <w:jc w:val="both"/>
        <w:ind w:left="727"/>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Substantially all of the Company’s store locations and distribution centers are subject to operating lease arrangements. Information under existing lease guidance with respect to rent required under non-cancelable operating leases, including option renewal periods that are reasonably assured, that have an initial or remaining lease term in excess of one year is included in Note 8.</w:t>
      </w:r>
    </w:p>
    <w:p>
      <w:pPr>
        <w:spacing w:after="0" w:line="78" w:lineRule="exact"/>
        <w:rPr>
          <w:rFonts w:ascii="Arial" w:cs="Arial" w:eastAsia="Arial" w:hAnsi="Arial"/>
          <w:sz w:val="15"/>
          <w:szCs w:val="15"/>
          <w:b w:val="1"/>
          <w:bCs w:val="1"/>
          <w:i w:val="1"/>
          <w:iCs w:val="1"/>
          <w:color w:val="auto"/>
        </w:rPr>
      </w:pPr>
    </w:p>
    <w:p>
      <w:pPr>
        <w:jc w:val="both"/>
        <w:ind w:left="727"/>
        <w:spacing w:after="0" w:line="272" w:lineRule="auto"/>
        <w:rPr>
          <w:rFonts w:ascii="Arial" w:cs="Arial" w:eastAsia="Arial" w:hAnsi="Arial"/>
          <w:sz w:val="15"/>
          <w:szCs w:val="15"/>
          <w:b w:val="1"/>
          <w:bCs w:val="1"/>
          <w:i w:val="1"/>
          <w:iCs w:val="1"/>
          <w:color w:val="auto"/>
        </w:rPr>
      </w:pPr>
      <w:r>
        <w:rPr>
          <w:rFonts w:ascii="Arial" w:cs="Arial" w:eastAsia="Arial" w:hAnsi="Arial"/>
          <w:sz w:val="17"/>
          <w:szCs w:val="17"/>
          <w:color w:val="auto"/>
        </w:rPr>
        <w:t>Pursuant to the adoption of the new standard, the Company has elected the practical expedients upon transition that do not require it to reassess existing contracts to determine if they contain leases under the new definition of a lease, or to reassess historical lease classification or initial direct costs. The Company also expects to adopt the practical expedient to not separate lease and non-lease components for new leases after adoption of the new standard. In addition, the Company applied a policy election to exclude leases with an initial term of 12 months or less from balance sheet recognition. The Company did not adopt the hindsight practical expedient and, therefore, expects to continue to utilize lease terms determined under existing lease guidance.</w:t>
      </w:r>
    </w:p>
    <w:p>
      <w:pPr>
        <w:spacing w:after="0" w:line="69" w:lineRule="exact"/>
        <w:rPr>
          <w:rFonts w:ascii="Arial" w:cs="Arial" w:eastAsia="Arial" w:hAnsi="Arial"/>
          <w:sz w:val="15"/>
          <w:szCs w:val="15"/>
          <w:b w:val="1"/>
          <w:bCs w:val="1"/>
          <w:i w:val="1"/>
          <w:iCs w:val="1"/>
          <w:color w:val="auto"/>
        </w:rPr>
      </w:pPr>
    </w:p>
    <w:p>
      <w:pPr>
        <w:jc w:val="both"/>
        <w:ind w:left="727"/>
        <w:spacing w:after="0" w:line="257" w:lineRule="auto"/>
        <w:rPr>
          <w:rFonts w:ascii="Arial" w:cs="Arial" w:eastAsia="Arial" w:hAnsi="Arial"/>
          <w:sz w:val="15"/>
          <w:szCs w:val="15"/>
          <w:b w:val="1"/>
          <w:bCs w:val="1"/>
          <w:i w:val="1"/>
          <w:iCs w:val="1"/>
          <w:color w:val="auto"/>
        </w:rPr>
      </w:pPr>
      <w:r>
        <w:rPr>
          <w:rFonts w:ascii="Arial" w:cs="Arial" w:eastAsia="Arial" w:hAnsi="Arial"/>
          <w:sz w:val="18"/>
          <w:szCs w:val="18"/>
          <w:color w:val="auto"/>
        </w:rPr>
        <w:t>The Company adopted ASU 2016-02 as of February 3, 2019 using the modified retrospective transition method, including the option to not restate comparative periods. Adoption of the standard is expected to result in recognition of additional right-of-use assets and lease liabilities for operating leases between approximately $260 million and $275 million. The Company does not expect the adoption of the guidance to have a material impact on its consolidated statements of income, stockholders’ equity or cash flows.</w:t>
      </w:r>
    </w:p>
    <w:p>
      <w:pPr>
        <w:spacing w:after="0" w:line="76" w:lineRule="exact"/>
        <w:rPr>
          <w:rFonts w:ascii="Arial" w:cs="Arial" w:eastAsia="Arial" w:hAnsi="Arial"/>
          <w:sz w:val="15"/>
          <w:szCs w:val="15"/>
          <w:b w:val="1"/>
          <w:bCs w:val="1"/>
          <w:i w:val="1"/>
          <w:iCs w:val="1"/>
          <w:color w:val="auto"/>
        </w:rPr>
      </w:pPr>
    </w:p>
    <w:p>
      <w:pPr>
        <w:ind w:left="347" w:hanging="347"/>
        <w:spacing w:after="0"/>
        <w:tabs>
          <w:tab w:leader="none" w:pos="34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121" w:lineRule="exact"/>
        <w:rPr>
          <w:rFonts w:ascii="Arial" w:cs="Arial" w:eastAsia="Arial" w:hAnsi="Arial"/>
          <w:sz w:val="18"/>
          <w:szCs w:val="18"/>
          <w:b w:val="1"/>
          <w:bCs w:val="1"/>
          <w:color w:val="auto"/>
        </w:rPr>
      </w:pPr>
    </w:p>
    <w:p>
      <w:pPr>
        <w:jc w:val="both"/>
        <w:ind w:left="3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Ollie’s recognizes retail sales in its stores when merchandise is sold and the customer takes possession of merchandise. Also included in net sales is revenue allocated to certain redeemed discounts earned via the Ollie’s Army loyalty program and gift card breakage. Net sales are presented net of returns and sales tax. The Company provides an allowance for estimated retail merchandise returns based on prior experience.</w:t>
      </w:r>
    </w:p>
    <w:p>
      <w:pPr>
        <w:spacing w:after="0" w:line="186"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Adoption of ASU 2014-09, Revenue from Contracts with Customers</w:t>
      </w:r>
    </w:p>
    <w:p>
      <w:pPr>
        <w:spacing w:after="0" w:line="117" w:lineRule="exact"/>
        <w:rPr>
          <w:rFonts w:ascii="Arial" w:cs="Arial" w:eastAsia="Arial" w:hAnsi="Arial"/>
          <w:sz w:val="18"/>
          <w:szCs w:val="18"/>
          <w:b w:val="1"/>
          <w:bCs w:val="1"/>
          <w:color w:val="auto"/>
        </w:rPr>
      </w:pPr>
    </w:p>
    <w:p>
      <w:pPr>
        <w:jc w:val="both"/>
        <w:ind w:left="3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new standard supersedes U.S. GAAP guidance on revenue recognition and requires the use of more estimates and judgments than prior guidance.</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The Company adopted ASU 2014-09 as of February 4, 2018 using the modified retrospective transition method. Results for reporting periods beginning after February 4, 2018 are presented pursuant to the requirements of the new standard, while prior period amounts are not adjusted and continue to be reported in accordance with the Company’s historic accounting under prior guidance.</w:t>
      </w:r>
    </w:p>
    <w:p>
      <w:pPr>
        <w:spacing w:after="0" w:line="79"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The Company recorded a net reduction to the opening balance of retained earnings of $5.6 million as of February 4, 2018 due to the cumulative impact of adopting ASU 2014-09, with the impact primarily related to the changes in revenue recognition associated with the Company’s customer loyalty program and gift card breakage.</w:t>
      </w:r>
    </w:p>
    <w:p>
      <w:pPr>
        <w:spacing w:after="0" w:line="73"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The cumulative effect of changes to the Company’s consolidated February 4, 2018 balance sheet for the adoption of ASU 2014-09 was as follows (in thousands):</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February 3,</w:t>
            </w: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Due to ASU</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February 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2014-09</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   255,185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46,327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59,073</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gridSpan w:val="4"/>
          </w:tcPr>
          <w:p>
            <w:pPr>
              <w:spacing w:after="0" w:line="189" w:lineRule="exact"/>
              <w:rPr>
                <w:sz w:val="20"/>
                <w:szCs w:val="20"/>
                <w:color w:val="auto"/>
              </w:rPr>
            </w:pPr>
            <w:r>
              <w:rPr>
                <w:rFonts w:ascii="Arial" w:cs="Arial" w:eastAsia="Arial" w:hAnsi="Arial"/>
                <w:sz w:val="18"/>
                <w:szCs w:val="18"/>
                <w:color w:val="auto"/>
              </w:rPr>
              <w:t>Equity</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213,019</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determined the adoption of ASU 2014-09 changed the presentation for the following:</w:t>
      </w:r>
    </w:p>
    <w:p>
      <w:pPr>
        <w:spacing w:after="0" w:line="117" w:lineRule="exact"/>
        <w:rPr>
          <w:sz w:val="20"/>
          <w:szCs w:val="20"/>
          <w:color w:val="auto"/>
        </w:rPr>
      </w:pPr>
    </w:p>
    <w:p>
      <w:pPr>
        <w:jc w:val="both"/>
        <w:ind w:left="1060" w:hanging="351"/>
        <w:spacing w:after="0" w:line="287"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is deferred for the Ollie’s Army loyalty program where members accumulate points that can be redeemed for discounts on future purchases. The Company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which are issued upon the achievement of specified point levels are valid for a maximum of 90 days from the date of issuance. At the end of each fiscal period, unredeemed discount awards and accumulated points to earn a future discount award are reflected as a liability. Discount awards are combined in one homogeneous pool and are not separately identifiable. Therefore, the revenue recognized consisted of discount awards redeemed that were included in the deferred revenue balance at the beginning of the period as well as discount awards issued during the current period. The following table is a reconciliation of the liability related to this program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20" w:type="dxa"/>
            <w:vAlign w:val="bottom"/>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2018</w:t>
            </w: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20" w:type="dxa"/>
            <w:vAlign w:val="bottom"/>
            <w:shd w:val="clear" w:color="auto" w:fill="CCEEFF"/>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rPr>
              <w:t>Revenue deferred</w:t>
            </w: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520" w:type="dxa"/>
            <w:vAlign w:val="bottom"/>
          </w:tcPr>
          <w:p>
            <w:pPr>
              <w:spacing w:after="0"/>
              <w:rPr>
                <w:sz w:val="21"/>
                <w:szCs w:val="21"/>
                <w:color w:val="auto"/>
              </w:rPr>
            </w:pPr>
          </w:p>
        </w:tc>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1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(11,446)</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2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February 2, 2019</w:t>
            </w:r>
          </w:p>
        </w:tc>
        <w:tc>
          <w:tcPr>
            <w:tcW w:w="198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Borders>
              <w:top w:val="single" w:sz="8" w:color="CCEEFF"/>
            </w:tcBorders>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80" w:type="dxa"/>
            <w:vAlign w:val="bottom"/>
            <w:vMerge w:val="restart"/>
          </w:tcPr>
          <w:p>
            <w:pPr>
              <w:jc w:val="right"/>
              <w:ind w:right="115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520" w:type="dxa"/>
            <w:vAlign w:val="bottom"/>
            <w:shd w:val="clear" w:color="auto" w:fill="000000"/>
          </w:tcPr>
          <w:p>
            <w:pPr>
              <w:spacing w:after="0"/>
              <w:rPr>
                <w:sz w:val="5"/>
                <w:szCs w:val="5"/>
                <w:color w:val="auto"/>
              </w:rPr>
            </w:pPr>
          </w:p>
        </w:tc>
        <w:tc>
          <w:tcPr>
            <w:tcW w:w="260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8" w:name="page59"/>
    <w:bookmarkEnd w:id="5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jc w:val="both"/>
        <w:ind w:left="1067" w:hanging="351"/>
        <w:spacing w:after="0" w:line="273" w:lineRule="auto"/>
        <w:tabs>
          <w:tab w:leader="none" w:pos="1067" w:val="left"/>
        </w:tabs>
        <w:numPr>
          <w:ilvl w:val="0"/>
          <w:numId w:val="34"/>
        </w:numPr>
        <w:rPr>
          <w:rFonts w:ascii="Arial" w:cs="Arial" w:eastAsia="Arial" w:hAnsi="Arial"/>
          <w:sz w:val="17"/>
          <w:szCs w:val="17"/>
          <w:color w:val="auto"/>
        </w:rPr>
      </w:pPr>
      <w:r>
        <w:rPr>
          <w:rFonts w:ascii="Arial" w:cs="Arial" w:eastAsia="Arial" w:hAnsi="Arial"/>
          <w:sz w:val="17"/>
          <w:szCs w:val="17"/>
          <w:color w:val="auto"/>
        </w:rPr>
        <w:t>Gift card breakage for gift card liabilities not subject to escheatment is recognized as revenue in proportion to the redemption of gift cards rather than when redemption of the gift card was considered remote. Ollie’s gift cards do not expire. The rate applied to redemptions is based upon a historical breakage rate. Gift cards are combined in one homogenous pool and are not separately identifiable. Therefore, the revenue recognized consisted of gift cards that were included in the liability at the beginning of the period as well as gift cards that were issued during the period. The following table is a reconciliation of the gift card liability (in thousands):</w:t>
      </w:r>
    </w:p>
    <w:p>
      <w:pPr>
        <w:spacing w:after="0" w:line="31" w:lineRule="exact"/>
        <w:rPr>
          <w:sz w:val="20"/>
          <w:szCs w:val="20"/>
          <w:color w:val="auto"/>
        </w:rPr>
      </w:pPr>
    </w:p>
    <w:tbl>
      <w:tblPr>
        <w:tblLayout w:type="fixed"/>
        <w:tblInd w:w="1527" w:type="dxa"/>
        <w:tblCellMar>
          <w:top w:w="0" w:type="dxa"/>
          <w:left w:w="0" w:type="dxa"/>
          <w:bottom w:w="0" w:type="dxa"/>
          <w:right w:w="0" w:type="dxa"/>
        </w:tblCellMar>
      </w:tblP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1"/>
                <w:szCs w:val="2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Gift card issuances</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20"/>
                <w:szCs w:val="20"/>
                <w:color w:val="auto"/>
              </w:rPr>
            </w:pPr>
          </w:p>
        </w:tc>
      </w:tr>
      <w:tr>
        <w:trPr>
          <w:trHeight w:val="24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Gift card redemption and breakage</w:t>
            </w:r>
          </w:p>
        </w:tc>
        <w:tc>
          <w:tcPr>
            <w:tcW w:w="3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(4,336)</w:t>
            </w:r>
          </w:p>
        </w:tc>
      </w:tr>
      <w:tr>
        <w:trPr>
          <w:trHeight w:val="223"/>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February 2, 2019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top w:val="single" w:sz="8" w:color="CCEEFF"/>
            </w:tcBorders>
          </w:tcPr>
          <w:p>
            <w:pPr>
              <w:spacing w:after="0"/>
              <w:rPr>
                <w:sz w:val="19"/>
                <w:szCs w:val="19"/>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067" w:hanging="351"/>
        <w:spacing w:after="0" w:line="259" w:lineRule="auto"/>
        <w:tabs>
          <w:tab w:leader="none" w:pos="10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return allowance is recorded on a gross basis on the consolidated balance sheet as a refund liability and an asset for recovery rather than as a net liability. The allowance for estimated retail merchandise returns is based on prior experience. The following table provides a reconciliation of the activity related to the Company’s sales returns allowance (in thousands):</w:t>
      </w:r>
    </w:p>
    <w:p>
      <w:pPr>
        <w:spacing w:after="0" w:line="43" w:lineRule="exact"/>
        <w:rPr>
          <w:sz w:val="20"/>
          <w:szCs w:val="20"/>
          <w:color w:val="auto"/>
        </w:rPr>
      </w:pPr>
    </w:p>
    <w:tbl>
      <w:tblPr>
        <w:tblLayout w:type="fixed"/>
        <w:tblInd w:w="1527"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February</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4"/>
                <w:szCs w:val="14"/>
                <w:color w:val="auto"/>
              </w:rPr>
            </w:pPr>
          </w:p>
        </w:tc>
        <w:tc>
          <w:tcPr>
            <w:tcW w:w="68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January 28,</w:t>
            </w:r>
          </w:p>
        </w:tc>
      </w:tr>
      <w:tr>
        <w:trPr>
          <w:trHeight w:val="185"/>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Cumulative effect of adopting ASU 2014-09</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Provisions</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34,995</w:t>
            </w:r>
          </w:p>
        </w:tc>
        <w:tc>
          <w:tcPr>
            <w:tcW w:w="80" w:type="dxa"/>
            <w:vAlign w:val="bottom"/>
            <w:shd w:val="clear" w:color="auto" w:fill="CCEEFF"/>
          </w:tcPr>
          <w:p>
            <w:pPr>
              <w:spacing w:after="0"/>
              <w:rPr>
                <w:sz w:val="21"/>
                <w:szCs w:val="2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Sales returns</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(45,929)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(39,421)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(34,903)</w:t>
            </w:r>
          </w:p>
        </w:tc>
      </w:tr>
      <w:tr>
        <w:trPr>
          <w:trHeight w:val="271"/>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367"/>
        <w:spacing w:after="0" w:line="302" w:lineRule="auto"/>
        <w:rPr>
          <w:sz w:val="20"/>
          <w:szCs w:val="20"/>
          <w:color w:val="auto"/>
        </w:rPr>
      </w:pPr>
      <w:r>
        <w:rPr>
          <w:rFonts w:ascii="Arial" w:cs="Arial" w:eastAsia="Arial" w:hAnsi="Arial"/>
          <w:sz w:val="16"/>
          <w:szCs w:val="16"/>
          <w:color w:val="auto"/>
        </w:rPr>
        <w:t>The adoption of ASU 2014-09 did not have a material impact on the Company’s consolidated income statement and statement of cash flows for 2018. As a result of the adoption of ASU 2014-09, the Company’s balance sheet at February 2, 2019 reflected an additional liability of $9.1 million related to the Ollie’s Army loyalty program which would not have been recorded prior to adoption. Other changes to the consolidated balance sheet at February 2, 2019 were not significant.</w:t>
      </w:r>
    </w:p>
    <w:p>
      <w:pPr>
        <w:spacing w:after="0" w:line="42"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(in thousands):</w:t>
      </w:r>
    </w:p>
    <w:p>
      <w:pPr>
        <w:spacing w:after="0" w:line="82" w:lineRule="exact"/>
        <w:rPr>
          <w:sz w:val="20"/>
          <w:szCs w:val="20"/>
          <w:color w:val="auto"/>
        </w:rPr>
      </w:pPr>
    </w:p>
    <w:tbl>
      <w:tblPr>
        <w:tblLayout w:type="fixed"/>
        <w:tblInd w:w="867"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February 3,</w:t>
            </w:r>
          </w:p>
        </w:tc>
      </w:t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7"/>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0"/>
                <w:szCs w:val="20"/>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0"/>
                <w:szCs w:val="20"/>
                <w:color w:val="auto"/>
              </w:rPr>
            </w:pPr>
          </w:p>
        </w:tc>
      </w:tr>
      <w:tr>
        <w:trPr>
          <w:trHeight w:val="25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106,647</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87,800</w:t>
            </w:r>
          </w:p>
        </w:tc>
        <w:tc>
          <w:tcPr>
            <w:tcW w:w="100" w:type="dxa"/>
            <w:vAlign w:val="bottom"/>
            <w:shd w:val="clear" w:color="auto" w:fill="CCEEFF"/>
          </w:tcPr>
          <w:p>
            <w:pPr>
              <w:spacing w:after="0"/>
              <w:rPr>
                <w:sz w:val="22"/>
                <w:szCs w:val="22"/>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tcPr>
          <w:p>
            <w:pPr>
              <w:spacing w:after="0"/>
              <w:rPr>
                <w:sz w:val="20"/>
                <w:szCs w:val="20"/>
                <w:color w:val="auto"/>
              </w:rPr>
            </w:pPr>
          </w:p>
        </w:tc>
      </w:tr>
      <w:tr>
        <w:trPr>
          <w:trHeight w:val="25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22"/>
                <w:szCs w:val="22"/>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25,520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42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179,485</w:t>
            </w:r>
          </w:p>
        </w:tc>
        <w:tc>
          <w:tcPr>
            <w:tcW w:w="1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104,964</w:t>
            </w:r>
          </w:p>
        </w:tc>
        <w:tc>
          <w:tcPr>
            <w:tcW w:w="100" w:type="dxa"/>
            <w:vAlign w:val="bottom"/>
            <w:shd w:val="clear" w:color="auto" w:fill="CCEEFF"/>
          </w:tcPr>
          <w:p>
            <w:pPr>
              <w:spacing w:after="0"/>
              <w:rPr>
                <w:sz w:val="20"/>
                <w:szCs w:val="20"/>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(60,433)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(50,076)</w:t>
            </w:r>
          </w:p>
        </w:tc>
      </w:tr>
      <w:tr>
        <w:trPr>
          <w:trHeight w:val="271"/>
        </w:trPr>
        <w:tc>
          <w:tcPr>
            <w:tcW w:w="5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119,052</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367"/>
        <w:spacing w:after="0" w:line="264" w:lineRule="auto"/>
        <w:rPr>
          <w:sz w:val="20"/>
          <w:szCs w:val="20"/>
          <w:color w:val="auto"/>
        </w:rPr>
      </w:pPr>
      <w:r>
        <w:rPr>
          <w:rFonts w:ascii="Arial" w:cs="Arial" w:eastAsia="Arial" w:hAnsi="Arial"/>
          <w:sz w:val="18"/>
          <w:szCs w:val="18"/>
          <w:color w:val="auto"/>
        </w:rPr>
        <w:t>Depreciation and amortization expense of property and equipment was $14.0 million, $11.9 million and $10.3 million for 2018, 2017 and 2016, respectively, of which $11.7 million, $9.8 million and $8.4 million is included in the depreciation and amortization expenses for 2018, 2017 and 2016, respectively, on the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367" w:right="20"/>
        <w:spacing w:after="0" w:line="277" w:lineRule="auto"/>
        <w:rPr>
          <w:sz w:val="20"/>
          <w:szCs w:val="20"/>
          <w:color w:val="auto"/>
        </w:rPr>
      </w:pPr>
      <w:r>
        <w:rPr>
          <w:rFonts w:ascii="Arial" w:cs="Arial" w:eastAsia="Arial" w:hAnsi="Arial"/>
          <w:sz w:val="18"/>
          <w:szCs w:val="18"/>
          <w:color w:val="auto"/>
        </w:rPr>
        <w:t>consolidated statements of income. The remainder, as it relates to the Company’s distribution centers, is included within cost of sales on the consolidated statements of income.</w:t>
      </w:r>
    </w:p>
    <w:p>
      <w:pPr>
        <w:spacing w:after="0" w:line="58"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Goodwill and other intangible assets consist of the following (in thousands):</w:t>
      </w:r>
    </w:p>
    <w:p>
      <w:pPr>
        <w:spacing w:after="0" w:line="82" w:lineRule="exact"/>
        <w:rPr>
          <w:sz w:val="20"/>
          <w:szCs w:val="20"/>
          <w:color w:val="auto"/>
        </w:rPr>
      </w:pPr>
    </w:p>
    <w:tbl>
      <w:tblPr>
        <w:tblLayout w:type="fixed"/>
        <w:tblInd w:w="867"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February 3,</w:t>
            </w:r>
          </w:p>
        </w:tc>
      </w:t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7"/>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Non-amortizing intangible assets: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444,850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444,850</w:t>
            </w:r>
          </w:p>
        </w:tc>
        <w:tc>
          <w:tcPr>
            <w:tcW w:w="100" w:type="dxa"/>
            <w:vAlign w:val="bottom"/>
          </w:tcPr>
          <w:p>
            <w:pPr>
              <w:spacing w:after="0"/>
              <w:rPr>
                <w:sz w:val="20"/>
                <w:szCs w:val="20"/>
                <w:color w:val="auto"/>
              </w:rPr>
            </w:pPr>
          </w:p>
        </w:tc>
      </w:tr>
      <w:tr>
        <w:trPr>
          <w:trHeight w:val="24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Tradename</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230,559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230,559</w:t>
            </w:r>
          </w:p>
        </w:tc>
        <w:tc>
          <w:tcPr>
            <w:tcW w:w="100" w:type="dxa"/>
            <w:vAlign w:val="bottom"/>
            <w:shd w:val="clear" w:color="auto" w:fill="CCEEFF"/>
          </w:tcPr>
          <w:p>
            <w:pPr>
              <w:spacing w:after="0"/>
              <w:rPr>
                <w:sz w:val="21"/>
                <w:szCs w:val="21"/>
                <w:color w:val="auto"/>
              </w:rPr>
            </w:pPr>
          </w:p>
        </w:tc>
      </w:tr>
      <w:tr>
        <w:trPr>
          <w:trHeight w:val="237"/>
        </w:trPr>
        <w:tc>
          <w:tcPr>
            <w:tcW w:w="5440" w:type="dxa"/>
            <w:vAlign w:val="bottom"/>
            <w:gridSpan w:val="2"/>
          </w:tcPr>
          <w:p>
            <w:pPr>
              <w:spacing w:after="0"/>
              <w:rPr>
                <w:sz w:val="20"/>
                <w:szCs w:val="20"/>
                <w:color w:val="auto"/>
              </w:rPr>
            </w:pPr>
            <w:r>
              <w:rPr>
                <w:rFonts w:ascii="Arial" w:cs="Arial" w:eastAsia="Arial" w:hAnsi="Arial"/>
                <w:sz w:val="18"/>
                <w:szCs w:val="18"/>
                <w:color w:val="auto"/>
              </w:rPr>
              <w:t>Amortizing intangible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Favorable leases</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21"/>
                <w:szCs w:val="21"/>
                <w:color w:val="auto"/>
              </w:rPr>
            </w:pPr>
          </w:p>
        </w:tc>
      </w:tr>
      <w:tr>
        <w:trPr>
          <w:trHeight w:val="237"/>
        </w:trPr>
        <w:tc>
          <w:tcPr>
            <w:tcW w:w="544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Favorable leases</w:t>
            </w: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w:t>
            </w:r>
          </w:p>
        </w:tc>
      </w:tr>
      <w:tr>
        <w:trPr>
          <w:trHeight w:val="223"/>
        </w:trPr>
        <w:tc>
          <w:tcPr>
            <w:tcW w:w="542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677,154</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677,489</w:t>
            </w:r>
          </w:p>
        </w:tc>
        <w:tc>
          <w:tcPr>
            <w:tcW w:w="100" w:type="dxa"/>
            <w:vAlign w:val="bottom"/>
            <w:tcBorders>
              <w:top w:val="single" w:sz="8" w:color="CCEEFF"/>
            </w:tcBorders>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spacing w:after="0" w:line="264" w:lineRule="auto"/>
        <w:rPr>
          <w:sz w:val="20"/>
          <w:szCs w:val="20"/>
          <w:color w:val="auto"/>
        </w:rPr>
      </w:pPr>
      <w:r>
        <w:rPr>
          <w:rFonts w:ascii="Arial" w:cs="Arial" w:eastAsia="Arial" w:hAnsi="Arial"/>
          <w:sz w:val="18"/>
          <w:szCs w:val="18"/>
          <w:color w:val="auto"/>
        </w:rPr>
        <w:t>Amortization expense for 2018, 2017 and 2016 was $0.3 million, $0.3 million and $0.4 million, which was charged to rent expense. Estimated amortization expense of favorable leases during the next five fiscal years and thereafter is shown below (in thousands):</w:t>
      </w:r>
    </w:p>
    <w:p>
      <w:pPr>
        <w:spacing w:after="0" w:line="34" w:lineRule="exact"/>
        <w:rPr>
          <w:sz w:val="20"/>
          <w:szCs w:val="20"/>
          <w:color w:val="auto"/>
        </w:rPr>
      </w:pPr>
    </w:p>
    <w:tbl>
      <w:tblPr>
        <w:tblLayout w:type="fixed"/>
        <w:tblInd w:w="867" w:type="dxa"/>
        <w:tblCellMar>
          <w:top w:w="0" w:type="dxa"/>
          <w:left w:w="0" w:type="dxa"/>
          <w:bottom w:w="0" w:type="dxa"/>
          <w:right w:w="0" w:type="dxa"/>
        </w:tblCellMar>
      </w:tblP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w:t>
            </w: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February 1, 2020</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2021</w:t>
            </w: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January 29, 2022</w:t>
            </w: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28, 2023</w:t>
            </w: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February 3, 2024</w:t>
            </w: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r>
      <w:tr>
        <w:trPr>
          <w:trHeight w:val="249"/>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remaining amortization</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r>
      <w:tr>
        <w:trPr>
          <w:trHeight w:val="21"/>
        </w:trPr>
        <w:tc>
          <w:tcPr>
            <w:tcW w:w="5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right="20"/>
        <w:spacing w:after="0" w:line="264" w:lineRule="auto"/>
        <w:rPr>
          <w:sz w:val="20"/>
          <w:szCs w:val="20"/>
          <w:color w:val="auto"/>
        </w:rPr>
      </w:pPr>
      <w:r>
        <w:rPr>
          <w:rFonts w:ascii="Arial" w:cs="Arial" w:eastAsia="Arial" w:hAnsi="Arial"/>
          <w:sz w:val="18"/>
          <w:szCs w:val="18"/>
          <w:color w:val="auto"/>
        </w:rPr>
        <w:t>Favorable lease intangible assets are being amortized on a straight-line basis over their respective lease terms plus assumed option renewal periods (weighted average remaining life of approximately 7.3 and 7.9 years as of February 2, 2019 and February 3, 2018, respectively).</w:t>
      </w:r>
    </w:p>
    <w:p>
      <w:pPr>
        <w:spacing w:after="0" w:line="69" w:lineRule="exact"/>
        <w:rPr>
          <w:sz w:val="20"/>
          <w:szCs w:val="20"/>
          <w:color w:val="auto"/>
        </w:rPr>
      </w:pPr>
    </w:p>
    <w:p>
      <w:pPr>
        <w:ind w:left="347" w:hanging="347"/>
        <w:spacing w:after="0"/>
        <w:tabs>
          <w:tab w:leader="none" w:pos="34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3,</w:t>
            </w:r>
          </w:p>
        </w:tc>
        <w:tc>
          <w:tcPr>
            <w:tcW w:w="860" w:type="dxa"/>
            <w:vAlign w:val="bottom"/>
          </w:tcPr>
          <w:p>
            <w:pPr>
              <w:spacing w:after="0"/>
              <w:rPr>
                <w:sz w:val="14"/>
                <w:szCs w:val="14"/>
                <w:color w:val="auto"/>
              </w:rPr>
            </w:pPr>
          </w:p>
        </w:tc>
      </w:tr>
      <w:tr>
        <w:trPr>
          <w:trHeight w:val="185"/>
        </w:trPr>
        <w:tc>
          <w:tcPr>
            <w:tcW w:w="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6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Deferred revenue</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r>
      <w:tr>
        <w:trPr>
          <w:trHeight w:val="256"/>
        </w:trPr>
        <w:tc>
          <w:tcPr>
            <w:tcW w:w="86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Advertising</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6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Real estate related</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6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r>
      <w:tr>
        <w:trPr>
          <w:trHeight w:val="243"/>
        </w:trPr>
        <w:tc>
          <w:tcPr>
            <w:tcW w:w="376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15,448</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1"/>
        </w:trPr>
        <w:tc>
          <w:tcPr>
            <w:tcW w:w="860" w:type="dxa"/>
            <w:vAlign w:val="bottom"/>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2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65,934</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46,327</w:t>
            </w:r>
          </w:p>
        </w:tc>
        <w:tc>
          <w:tcPr>
            <w:tcW w:w="100" w:type="dxa"/>
            <w:vAlign w:val="bottom"/>
            <w:shd w:val="clear" w:color="auto" w:fill="CCEEFF"/>
          </w:tcPr>
          <w:p>
            <w:pPr>
              <w:spacing w:after="0"/>
              <w:rPr>
                <w:sz w:val="23"/>
                <w:szCs w:val="23"/>
                <w:color w:val="auto"/>
              </w:rPr>
            </w:pPr>
          </w:p>
        </w:tc>
        <w:tc>
          <w:tcPr>
            <w:tcW w:w="860" w:type="dxa"/>
            <w:vAlign w:val="bottom"/>
          </w:tcPr>
          <w:p>
            <w:pPr>
              <w:spacing w:after="0"/>
              <w:rPr>
                <w:sz w:val="23"/>
                <w:szCs w:val="23"/>
                <w:color w:val="auto"/>
              </w:rPr>
            </w:pPr>
          </w:p>
        </w:tc>
      </w:tr>
      <w:tr>
        <w:trPr>
          <w:trHeight w:val="432"/>
        </w:trPr>
        <w:tc>
          <w:tcPr>
            <w:tcW w:w="860" w:type="dxa"/>
            <w:vAlign w:val="bottom"/>
          </w:tcPr>
          <w:p>
            <w:pPr>
              <w:spacing w:after="0"/>
              <w:rPr>
                <w:sz w:val="24"/>
                <w:szCs w:val="24"/>
                <w:color w:val="auto"/>
              </w:rPr>
            </w:pPr>
          </w:p>
        </w:tc>
        <w:tc>
          <w:tcPr>
            <w:tcW w:w="290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jc w:val="right"/>
              <w:ind w:right="1330"/>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860" w:type="dxa"/>
            <w:vAlign w:val="bottom"/>
            <w:shd w:val="clear" w:color="auto" w:fill="000000"/>
          </w:tcPr>
          <w:p>
            <w:pPr>
              <w:spacing w:after="0"/>
              <w:rPr>
                <w:sz w:val="5"/>
                <w:szCs w:val="5"/>
                <w:color w:val="auto"/>
              </w:rPr>
            </w:pPr>
          </w:p>
        </w:tc>
        <w:tc>
          <w:tcPr>
            <w:tcW w:w="290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0" w:lineRule="exact"/>
        <w:rPr>
          <w:sz w:val="20"/>
          <w:szCs w:val="20"/>
          <w:color w:val="auto"/>
        </w:rPr>
      </w:pPr>
    </w:p>
    <w:p>
      <w:pPr>
        <w:ind w:left="367" w:right="5140" w:hanging="367"/>
        <w:spacing w:after="0" w:line="402" w:lineRule="auto"/>
        <w:tabs>
          <w:tab w:leader="none" w:pos="358"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Obligations and Financing Arrangements </w:t>
      </w:r>
      <w:r>
        <w:rPr>
          <w:rFonts w:ascii="Arial" w:cs="Arial" w:eastAsia="Arial" w:hAnsi="Arial"/>
          <w:sz w:val="16"/>
          <w:szCs w:val="16"/>
          <w:color w:val="auto"/>
        </w:rPr>
        <w:t>Long-term debt consists of the following (in thousands):</w:t>
      </w:r>
    </w:p>
    <w:tbl>
      <w:tblPr>
        <w:tblLayout w:type="fixed"/>
        <w:tblInd w:w="867"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February 3,</w:t>
            </w:r>
          </w:p>
        </w:tc>
      </w:t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7"/>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48,530</w:t>
            </w:r>
          </w:p>
        </w:tc>
        <w:tc>
          <w:tcPr>
            <w:tcW w:w="100" w:type="dxa"/>
            <w:vAlign w:val="bottom"/>
            <w:shd w:val="clear" w:color="auto" w:fill="CCEEFF"/>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Capital leases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r>
      <w:tr>
        <w:trPr>
          <w:trHeight w:val="237"/>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48,993</w:t>
            </w:r>
          </w:p>
        </w:tc>
        <w:tc>
          <w:tcPr>
            <w:tcW w:w="100" w:type="dxa"/>
            <w:vAlign w:val="bottom"/>
            <w:shd w:val="clear" w:color="auto" w:fill="CCEEFF"/>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(10,158)</w:t>
            </w:r>
          </w:p>
        </w:tc>
      </w:tr>
      <w:tr>
        <w:trPr>
          <w:trHeight w:val="271"/>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367"/>
        <w:spacing w:after="0" w:line="286" w:lineRule="auto"/>
        <w:rPr>
          <w:sz w:val="20"/>
          <w:szCs w:val="20"/>
          <w:color w:val="auto"/>
        </w:rPr>
      </w:pPr>
      <w:r>
        <w:rPr>
          <w:rFonts w:ascii="Arial" w:cs="Arial" w:eastAsia="Arial" w:hAnsi="Arial"/>
          <w:sz w:val="17"/>
          <w:szCs w:val="17"/>
          <w:color w:val="auto"/>
        </w:rPr>
        <w:t>The Company’s credit facilities (“Credit Facilities”) consist of a $200.0 million term loan (“Term Loan Facility”) and a $100.0 million revolving credit facility (“Revolving Credit Facility”), which includes a $25.0 million sub-facility for letters of credit and a $25.0 million sub-facility for swingline loans. Loans under the Credit Facilities mature on January 29, 2021.</w:t>
      </w:r>
    </w:p>
    <w:p>
      <w:pPr>
        <w:spacing w:after="0" w:line="57" w:lineRule="exact"/>
        <w:rPr>
          <w:sz w:val="20"/>
          <w:szCs w:val="20"/>
          <w:color w:val="auto"/>
        </w:rPr>
      </w:pPr>
    </w:p>
    <w:p>
      <w:pPr>
        <w:jc w:val="both"/>
        <w:ind w:left="367"/>
        <w:spacing w:after="0" w:line="257" w:lineRule="auto"/>
        <w:rPr>
          <w:sz w:val="20"/>
          <w:szCs w:val="20"/>
          <w:color w:val="auto"/>
        </w:rPr>
      </w:pPr>
      <w:r>
        <w:rPr>
          <w:rFonts w:ascii="Arial" w:cs="Arial" w:eastAsia="Arial" w:hAnsi="Arial"/>
          <w:sz w:val="18"/>
          <w:szCs w:val="18"/>
          <w:color w:val="auto"/>
        </w:rPr>
        <w:t>The interest rates for the Credit Facilities are not subject to a floor and are calculated as the higher of the Prime Rate, the Federal Funds Effective Rate plus 0.50% or the Eurodollar Rate plus 1.0%, plus the Applicable Margin, or, for Eurodollar Loans, the Eurodollar Rate plus the Applicable Margin. The Applicable Margin will vary from 0.75% to 1.25% for a Base Rate Loan and 1.75% to 2.25% for a Eurodollar Loan, based on reference to the total leverage ratio (total debt to adjusted EBITDA, as defined in the agreement).</w:t>
      </w:r>
    </w:p>
    <w:p>
      <w:pPr>
        <w:spacing w:after="0" w:line="80" w:lineRule="exact"/>
        <w:rPr>
          <w:sz w:val="20"/>
          <w:szCs w:val="20"/>
          <w:color w:val="auto"/>
        </w:rPr>
      </w:pPr>
    </w:p>
    <w:p>
      <w:pPr>
        <w:jc w:val="both"/>
        <w:ind w:left="367"/>
        <w:spacing w:after="0" w:line="255" w:lineRule="auto"/>
        <w:rPr>
          <w:sz w:val="20"/>
          <w:szCs w:val="20"/>
          <w:color w:val="auto"/>
        </w:rPr>
      </w:pPr>
      <w:r>
        <w:rPr>
          <w:rFonts w:ascii="Arial" w:cs="Arial" w:eastAsia="Arial" w:hAnsi="Arial"/>
          <w:sz w:val="18"/>
          <w:szCs w:val="18"/>
          <w:color w:val="auto"/>
        </w:rPr>
        <w:t>The Company made voluntary prepayments under the Term Loan Facility totaling $48.8 million during 2018, paying the balance in full. In connection with these prepayments, $0.1 million of debt issuance cost and $10,000 of original issue discount were accelerated and included in loss on extinguishment of debt for 2018. The Company made voluntary prepayments under the Term Loan Facility totaling $146.3 million during 2017. In connection with these prepayments, $0.7 million of debt issuance cost and $0.1 million of original issue discount were accelerated and included in loss on extinguishment of debt for 2017.</w:t>
      </w:r>
    </w:p>
    <w:p>
      <w:pPr>
        <w:spacing w:after="0" w:line="85" w:lineRule="exact"/>
        <w:rPr>
          <w:sz w:val="20"/>
          <w:szCs w:val="20"/>
          <w:color w:val="auto"/>
        </w:rPr>
      </w:pPr>
    </w:p>
    <w:p>
      <w:pPr>
        <w:jc w:val="both"/>
        <w:ind w:left="367" w:right="20"/>
        <w:spacing w:after="0" w:line="277" w:lineRule="auto"/>
        <w:rPr>
          <w:sz w:val="20"/>
          <w:szCs w:val="20"/>
          <w:color w:val="auto"/>
        </w:rPr>
      </w:pPr>
      <w:r>
        <w:rPr>
          <w:rFonts w:ascii="Arial" w:cs="Arial" w:eastAsia="Arial" w:hAnsi="Arial"/>
          <w:sz w:val="18"/>
          <w:szCs w:val="18"/>
          <w:color w:val="auto"/>
        </w:rPr>
        <w:t>As of February 3, 2018, the amounts outstanding under the Term Loan Facility were net of unamortized original issue discount of $15,000 and deferred financing fees of $0.2 million.</w:t>
      </w:r>
    </w:p>
    <w:p>
      <w:pPr>
        <w:spacing w:after="0" w:line="62" w:lineRule="exact"/>
        <w:rPr>
          <w:sz w:val="20"/>
          <w:szCs w:val="20"/>
          <w:color w:val="auto"/>
        </w:rPr>
      </w:pPr>
    </w:p>
    <w:p>
      <w:pPr>
        <w:jc w:val="both"/>
        <w:ind w:left="367"/>
        <w:spacing w:after="0" w:line="264" w:lineRule="auto"/>
        <w:rPr>
          <w:sz w:val="20"/>
          <w:szCs w:val="20"/>
          <w:color w:val="auto"/>
        </w:rPr>
      </w:pPr>
      <w:r>
        <w:rPr>
          <w:rFonts w:ascii="Arial" w:cs="Arial" w:eastAsia="Arial" w:hAnsi="Arial"/>
          <w:sz w:val="18"/>
          <w:szCs w:val="18"/>
          <w:color w:val="auto"/>
        </w:rPr>
        <w:t>Under the terms of the Revolving Credit Facility, as of February 2, 2019 the Company could borrow up to 90.0% of the most recent appraised value (valued at cost, discounted for the current net orderly liquidation value) of its eligible inventory, as defined, up to $100.0 million.</w:t>
      </w:r>
    </w:p>
    <w:p>
      <w:pPr>
        <w:spacing w:after="0" w:line="73" w:lineRule="exact"/>
        <w:rPr>
          <w:sz w:val="20"/>
          <w:szCs w:val="20"/>
          <w:color w:val="auto"/>
        </w:rPr>
      </w:pPr>
    </w:p>
    <w:p>
      <w:pPr>
        <w:jc w:val="both"/>
        <w:ind w:left="367" w:right="20"/>
        <w:spacing w:after="0" w:line="259" w:lineRule="auto"/>
        <w:rPr>
          <w:sz w:val="20"/>
          <w:szCs w:val="20"/>
          <w:color w:val="auto"/>
        </w:rPr>
      </w:pPr>
      <w:r>
        <w:rPr>
          <w:rFonts w:ascii="Arial" w:cs="Arial" w:eastAsia="Arial" w:hAnsi="Arial"/>
          <w:sz w:val="18"/>
          <w:szCs w:val="18"/>
          <w:color w:val="auto"/>
        </w:rPr>
        <w:t>As of February 2, 2019, the Company had no outstanding borrowings under the Revolving Credit Facility, with $98.9 million of borrowing availability, letter of credit commitments of $0.8 million and $0.3 million of rent reserves. The Revolving Credit Facility also contains a variable unused line fee ranging from 0.250% to 0.375% per annum. The Company incurred unused line fees of $0.2 million in 2018 and $0.3 million in each of 2017 and 2016.</w:t>
      </w:r>
    </w:p>
    <w:p>
      <w:pPr>
        <w:spacing w:after="0" w:line="79" w:lineRule="exact"/>
        <w:rPr>
          <w:sz w:val="20"/>
          <w:szCs w:val="20"/>
          <w:color w:val="auto"/>
        </w:rPr>
      </w:pPr>
    </w:p>
    <w:p>
      <w:pPr>
        <w:jc w:val="both"/>
        <w:ind w:left="367"/>
        <w:spacing w:after="0" w:line="257" w:lineRule="auto"/>
        <w:rPr>
          <w:sz w:val="20"/>
          <w:szCs w:val="20"/>
          <w:color w:val="auto"/>
        </w:rPr>
      </w:pPr>
      <w:r>
        <w:rPr>
          <w:rFonts w:ascii="Arial" w:cs="Arial" w:eastAsia="Arial" w:hAnsi="Arial"/>
          <w:sz w:val="18"/>
          <w:szCs w:val="18"/>
          <w:color w:val="auto"/>
        </w:rPr>
        <w:t>The Credit Facilities are collateralized by the Company’s assets and equity and contain financial covenants, as well as certain business covenants, including restrictions on dividend payments, which the Company must comply with during the term of the agreements. The financial covenants include a consolidated fixed charge coverage ratio test of at least 1.1 to 1.0 and total leverage ratio test of no greater than 3.50 to 1.0. The Company was in compliance with all terms of the Credit Facilities during and as of the fiscal year ended February 2, 2019.</w:t>
      </w:r>
    </w:p>
    <w:p>
      <w:pPr>
        <w:spacing w:after="0" w:line="80" w:lineRule="exact"/>
        <w:rPr>
          <w:sz w:val="20"/>
          <w:szCs w:val="20"/>
          <w:color w:val="auto"/>
        </w:rPr>
      </w:pPr>
    </w:p>
    <w:p>
      <w:pPr>
        <w:jc w:val="both"/>
        <w:ind w:left="367" w:right="20"/>
        <w:spacing w:after="0" w:line="259" w:lineRule="auto"/>
        <w:rPr>
          <w:sz w:val="20"/>
          <w:szCs w:val="20"/>
          <w:color w:val="auto"/>
        </w:rPr>
      </w:pPr>
      <w:r>
        <w:rPr>
          <w:rFonts w:ascii="Arial" w:cs="Arial" w:eastAsia="Arial" w:hAnsi="Arial"/>
          <w:sz w:val="18"/>
          <w:szCs w:val="18"/>
          <w:color w:val="auto"/>
        </w:rPr>
        <w:t>The provisions of the Credit Facilities restrict all of the net assets of the Company’s consolidated subsidiaries, which constitutes all of the net assets on the Company’s consolidated balance sheet as of February 2, 2019, from being used to pay any dividends or make other restricted payments to the Company without prior written consent from the financial institutions party to the Company’s Credit Facilities, subject to certain exceptions.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1" w:name="page62"/>
    <w:bookmarkEnd w:id="61"/>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0" w:lineRule="exact"/>
        <w:rPr>
          <w:sz w:val="20"/>
          <w:szCs w:val="20"/>
          <w:color w:val="auto"/>
        </w:rPr>
      </w:pPr>
    </w:p>
    <w:p>
      <w:pPr>
        <w:ind w:left="347" w:hanging="347"/>
        <w:spacing w:after="0"/>
        <w:tabs>
          <w:tab w:leader="none" w:pos="34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36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December 22, 2017, new U.S. federal tax legislation, the Tax Cuts and Jobs Act (the “2017 Tax Act”) was enacted. The new legislation was a significant modification of existing U.S. federal tax law and contained a number of provisions which impacted the tax position of the Company in 2017 and 2018. Among other things, the 2017 Tax Act permanently lowered the federal corporate tax rate to 21% from the existing maximum rate of 35%, effective for tax years including or commencing January 1, 2018. As a result of the 2017 Tax Act, the Company recorded a tax benefit of $30.9 million in 2017 due to the net impact of the revaluation of net deferred tax liability balances.</w:t>
      </w:r>
    </w:p>
    <w:p>
      <w:pPr>
        <w:spacing w:after="0" w:line="85"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provision (benefit) are as follows (in thousands):</w:t>
      </w:r>
    </w:p>
    <w:p>
      <w:pPr>
        <w:spacing w:after="0" w:line="82" w:lineRule="exact"/>
        <w:rPr>
          <w:sz w:val="20"/>
          <w:szCs w:val="20"/>
          <w:color w:val="auto"/>
        </w:rPr>
      </w:pPr>
    </w:p>
    <w:tbl>
      <w:tblPr>
        <w:tblLayout w:type="fixed"/>
        <w:tblInd w:w="86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Fiscal year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w w:val="92"/>
              </w:rPr>
              <w:t>February 2,</w:t>
            </w: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w w:val="95"/>
              </w:rPr>
              <w:t>February 3,</w:t>
            </w:r>
          </w:p>
        </w:tc>
        <w:tc>
          <w:tcPr>
            <w:tcW w:w="140" w:type="dxa"/>
            <w:vAlign w:val="bottom"/>
          </w:tcPr>
          <w:p>
            <w:pPr>
              <w:spacing w:after="0"/>
              <w:rPr>
                <w:sz w:val="13"/>
                <w:szCs w:val="13"/>
                <w:color w:val="auto"/>
              </w:rPr>
            </w:pPr>
          </w:p>
        </w:tc>
        <w:tc>
          <w:tcPr>
            <w:tcW w:w="9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January 28,</w:t>
            </w:r>
          </w:p>
        </w:tc>
      </w:tr>
      <w:tr>
        <w:trPr>
          <w:trHeight w:val="185"/>
        </w:trPr>
        <w:tc>
          <w:tcPr>
            <w:tcW w:w="4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20,804</w:t>
            </w:r>
          </w:p>
        </w:tc>
        <w:tc>
          <w:tcPr>
            <w:tcW w:w="1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27,817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29,280</w:t>
            </w:r>
          </w:p>
        </w:tc>
        <w:tc>
          <w:tcPr>
            <w:tcW w:w="100" w:type="dxa"/>
            <w:vAlign w:val="bottom"/>
          </w:tcPr>
          <w:p>
            <w:pPr>
              <w:spacing w:after="0"/>
              <w:rPr>
                <w:sz w:val="20"/>
                <w:szCs w:val="20"/>
                <w:color w:val="auto"/>
              </w:rPr>
            </w:pPr>
          </w:p>
        </w:tc>
      </w:tr>
      <w:tr>
        <w:trPr>
          <w:trHeight w:val="249"/>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4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34,628</w:t>
            </w:r>
          </w:p>
        </w:tc>
        <w:tc>
          <w:tcPr>
            <w:tcW w:w="100" w:type="dxa"/>
            <w:vAlign w:val="bottom"/>
          </w:tcPr>
          <w:p>
            <w:pPr>
              <w:spacing w:after="0"/>
              <w:rPr>
                <w:sz w:val="20"/>
                <w:szCs w:val="20"/>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(29,851)</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r>
      <w:tr>
        <w:trPr>
          <w:trHeight w:val="24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(30,323)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0"/>
                <w:szCs w:val="20"/>
                <w:color w:val="auto"/>
              </w:rPr>
            </w:pPr>
          </w:p>
        </w:tc>
      </w:tr>
      <w:tr>
        <w:trPr>
          <w:trHeight w:val="27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reconciliation of the statutory federal income tax rate to the Company’s effective income tax rate is as follows:</w:t>
      </w:r>
    </w:p>
    <w:p>
      <w:pPr>
        <w:spacing w:after="0" w:line="82" w:lineRule="exact"/>
        <w:rPr>
          <w:sz w:val="20"/>
          <w:szCs w:val="20"/>
          <w:color w:val="auto"/>
        </w:rPr>
      </w:pPr>
    </w:p>
    <w:tbl>
      <w:tblPr>
        <w:tblLayout w:type="fixed"/>
        <w:tblInd w:w="867"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Fiscal year ended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340" w:type="dxa"/>
            <w:vAlign w:val="bottom"/>
          </w:tcPr>
          <w:p>
            <w:pPr>
              <w:spacing w:after="0"/>
              <w:rPr>
                <w:sz w:val="13"/>
                <w:szCs w:val="13"/>
                <w:color w:val="auto"/>
              </w:rPr>
            </w:pPr>
          </w:p>
        </w:tc>
        <w:tc>
          <w:tcPr>
            <w:tcW w:w="118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February 2,</w:t>
            </w:r>
          </w:p>
        </w:tc>
        <w:tc>
          <w:tcPr>
            <w:tcW w:w="120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February 3,</w:t>
            </w:r>
          </w:p>
        </w:tc>
        <w:tc>
          <w:tcPr>
            <w:tcW w:w="112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rPr>
              <w:t>January 28,</w:t>
            </w:r>
          </w:p>
        </w:tc>
      </w:tr>
      <w:tr>
        <w:trPr>
          <w:trHeight w:val="185"/>
        </w:trPr>
        <w:tc>
          <w:tcPr>
            <w:tcW w:w="4340" w:type="dxa"/>
            <w:vAlign w:val="bottom"/>
          </w:tcPr>
          <w:p>
            <w:pPr>
              <w:spacing w:after="0"/>
              <w:rPr>
                <w:sz w:val="16"/>
                <w:szCs w:val="16"/>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rate</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from 2017 Tax Act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80" w:type="dxa"/>
            <w:vAlign w:val="bottom"/>
            <w:tcBorders>
              <w:right w:val="single" w:sz="8" w:color="CCEEFF"/>
            </w:tcBorders>
            <w:shd w:val="clear" w:color="auto" w:fill="CCEEFF"/>
          </w:tcPr>
          <w:p>
            <w:pPr>
              <w:spacing w:after="0"/>
              <w:rPr>
                <w:sz w:val="22"/>
                <w:szCs w:val="22"/>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w w:val="94"/>
              </w:rPr>
              <w:t>Excess tax benefits related to stock-based compensation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49"/>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80" w:type="dxa"/>
            <w:vAlign w:val="bottom"/>
            <w:tcBorders>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r>
      <w:tr>
        <w:trPr>
          <w:trHeight w:val="20"/>
        </w:trPr>
        <w:tc>
          <w:tcPr>
            <w:tcW w:w="434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3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r>
      <w:tr>
        <w:trPr>
          <w:trHeight w:val="21"/>
        </w:trPr>
        <w:tc>
          <w:tcPr>
            <w:tcW w:w="4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spacing w:after="0" w:line="264" w:lineRule="auto"/>
        <w:rPr>
          <w:sz w:val="20"/>
          <w:szCs w:val="20"/>
          <w:color w:val="auto"/>
        </w:rPr>
      </w:pPr>
      <w:r>
        <w:rPr>
          <w:rFonts w:ascii="Arial" w:cs="Arial" w:eastAsia="Arial" w:hAnsi="Arial"/>
          <w:sz w:val="18"/>
          <w:szCs w:val="18"/>
          <w:color w:val="auto"/>
        </w:rPr>
        <w:t>Deferred income taxes reflect the effect of temporary differences between the carrying amounts of the assets and liabilities for financial reporting purposes and the carrying amounts used for income tax reporting purposes. Significant components of deferred tax assets and liabilities are as follows (in thousands):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3,</w:t>
            </w:r>
          </w:p>
        </w:tc>
        <w:tc>
          <w:tcPr>
            <w:tcW w:w="860" w:type="dxa"/>
            <w:vAlign w:val="bottom"/>
          </w:tcPr>
          <w:p>
            <w:pPr>
              <w:spacing w:after="0"/>
              <w:rPr>
                <w:sz w:val="14"/>
                <w:szCs w:val="14"/>
                <w:color w:val="auto"/>
              </w:rPr>
            </w:pPr>
          </w:p>
        </w:tc>
      </w:tr>
      <w:tr>
        <w:trPr>
          <w:trHeight w:val="185"/>
        </w:trPr>
        <w:tc>
          <w:tcPr>
            <w:tcW w:w="8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6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237"/>
        </w:trPr>
        <w:tc>
          <w:tcPr>
            <w:tcW w:w="860" w:type="dxa"/>
            <w:vAlign w:val="bottom"/>
          </w:tcPr>
          <w:p>
            <w:pPr>
              <w:spacing w:after="0"/>
              <w:rPr>
                <w:sz w:val="20"/>
                <w:szCs w:val="20"/>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860" w:type="dxa"/>
            <w:vAlign w:val="bottom"/>
          </w:tcPr>
          <w:p>
            <w:pPr>
              <w:spacing w:after="0"/>
              <w:rPr>
                <w:sz w:val="21"/>
                <w:szCs w:val="21"/>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2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21"/>
                <w:szCs w:val="21"/>
                <w:color w:val="auto"/>
              </w:rPr>
            </w:pPr>
          </w:p>
        </w:tc>
        <w:tc>
          <w:tcPr>
            <w:tcW w:w="860" w:type="dxa"/>
            <w:vAlign w:val="bottom"/>
          </w:tcPr>
          <w:p>
            <w:pPr>
              <w:spacing w:after="0"/>
              <w:rPr>
                <w:sz w:val="21"/>
                <w:szCs w:val="21"/>
                <w:color w:val="auto"/>
              </w:rPr>
            </w:pPr>
          </w:p>
        </w:tc>
      </w:tr>
      <w:tr>
        <w:trPr>
          <w:trHeight w:val="237"/>
        </w:trPr>
        <w:tc>
          <w:tcPr>
            <w:tcW w:w="860" w:type="dxa"/>
            <w:vAlign w:val="bottom"/>
          </w:tcPr>
          <w:p>
            <w:pPr>
              <w:spacing w:after="0"/>
              <w:rPr>
                <w:sz w:val="20"/>
                <w:szCs w:val="20"/>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860" w:type="dxa"/>
            <w:vAlign w:val="bottom"/>
          </w:tcPr>
          <w:p>
            <w:pPr>
              <w:spacing w:after="0"/>
              <w:rPr>
                <w:sz w:val="21"/>
                <w:szCs w:val="21"/>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7"/>
        </w:trPr>
        <w:tc>
          <w:tcPr>
            <w:tcW w:w="86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426"/>
        </w:trPr>
        <w:tc>
          <w:tcPr>
            <w:tcW w:w="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60" w:type="dxa"/>
            <w:vAlign w:val="bottom"/>
          </w:tcPr>
          <w:p>
            <w:pPr>
              <w:jc w:val="right"/>
              <w:ind w:right="133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86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24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62" w:name="page63"/>
    <w:bookmarkEnd w:id="62"/>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68" w:lineRule="exact"/>
        <w:rPr>
          <w:sz w:val="20"/>
          <w:szCs w:val="20"/>
          <w:color w:val="auto"/>
        </w:rPr>
      </w:pPr>
    </w:p>
    <w:tbl>
      <w:tblPr>
        <w:tblLayout w:type="fixed"/>
        <w:tblInd w:w="867"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February 2,</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February 3,</w:t>
            </w:r>
          </w:p>
        </w:tc>
      </w:tr>
      <w:tr>
        <w:trPr>
          <w:trHeight w:val="185"/>
        </w:trPr>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w:t>
            </w: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(58,946)</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(58,954)</w:t>
            </w: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(9,450)</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(7,408)</w:t>
            </w:r>
          </w:p>
        </w:tc>
      </w:tr>
      <w:tr>
        <w:trPr>
          <w:trHeight w:val="249"/>
        </w:trPr>
        <w:tc>
          <w:tcPr>
            <w:tcW w:w="5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r>
      <w:tr>
        <w:trPr>
          <w:trHeight w:val="20"/>
        </w:trPr>
        <w:tc>
          <w:tcPr>
            <w:tcW w:w="54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(68,840)</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(67,358)</w:t>
            </w:r>
          </w:p>
        </w:tc>
      </w:tr>
      <w:tr>
        <w:trPr>
          <w:trHeight w:val="20"/>
        </w:trPr>
        <w:tc>
          <w:tcPr>
            <w:tcW w:w="54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(55,616)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(59,073)</w:t>
            </w:r>
          </w:p>
        </w:tc>
      </w:tr>
      <w:tr>
        <w:trPr>
          <w:trHeight w:val="21"/>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spacing w:after="0" w:line="271"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Based on the level of historical taxable income and projections for future taxable income and the scheduled reversal of deferred liabilities over the periods in which the deferred tax assets are deductible, management believes it is more likely than not that the Company will realize the benefits of these deductible differences as of February 2, 2019 and February 3, 2018.</w:t>
      </w:r>
    </w:p>
    <w:p>
      <w:pPr>
        <w:spacing w:after="0" w:line="71" w:lineRule="exact"/>
        <w:rPr>
          <w:sz w:val="20"/>
          <w:szCs w:val="20"/>
          <w:color w:val="auto"/>
        </w:rPr>
      </w:pPr>
    </w:p>
    <w:p>
      <w:pPr>
        <w:jc w:val="both"/>
        <w:ind w:left="367"/>
        <w:spacing w:after="0" w:line="312" w:lineRule="auto"/>
        <w:rPr>
          <w:sz w:val="20"/>
          <w:szCs w:val="20"/>
          <w:color w:val="auto"/>
        </w:rPr>
      </w:pPr>
      <w:r>
        <w:rPr>
          <w:rFonts w:ascii="Arial" w:cs="Arial" w:eastAsia="Arial" w:hAnsi="Arial"/>
          <w:sz w:val="16"/>
          <w:szCs w:val="16"/>
          <w:color w:val="auto"/>
        </w:rPr>
        <w:t>Ollie’s has no material accrual for uncertain tax positions or interest or penalties related to income taxes on the Company’s consolidated balance sheets as of February 2, 2019 or February 3, 2018, and has not recognized any material uncertain tax positions or interest or penalties related to income taxes in the consolidated statements of income for 2018, 2017 or 2016.</w:t>
      </w:r>
    </w:p>
    <w:p>
      <w:pPr>
        <w:spacing w:after="0" w:line="35" w:lineRule="exact"/>
        <w:rPr>
          <w:sz w:val="20"/>
          <w:szCs w:val="20"/>
          <w:color w:val="auto"/>
        </w:rPr>
      </w:pPr>
    </w:p>
    <w:p>
      <w:pPr>
        <w:ind w:left="347" w:hanging="347"/>
        <w:spacing w:after="0"/>
        <w:tabs>
          <w:tab w:leader="none" w:pos="347"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367"/>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Ollie’s generally leases its stores, offices, and distribution facilities under operating leases that expire at various dates through 2033. These leases generally provide for fixed annual rentals; however, several provide for minimum annual rentals plus contingent rentals based on a percentage of annual sales. A majority of the Company’s leases also require a payment for all or a portion of insurance, real estate taxes, water and sewer costs and repairs, the cost of which is charged to the related expense category rather than being accounted for as rent expense. Most of the leases contain multiple renewal options, under which Ollie’s may extend the lease terms for five years. Minimum rents on operating leases, including agreements with step rents, are charged to expense on a straight-line basis over the lease term.</w:t>
      </w:r>
    </w:p>
    <w:p>
      <w:pPr>
        <w:spacing w:after="0" w:line="69"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Rent expense on all operating leases consisted of the following (in thousands):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Fiscal year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0"/>
        </w:trPr>
        <w:tc>
          <w:tcPr>
            <w:tcW w:w="8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3"/>
                <w:szCs w:val="13"/>
                <w:color w:val="auto"/>
              </w:rPr>
            </w:pPr>
          </w:p>
        </w:tc>
        <w:tc>
          <w:tcPr>
            <w:tcW w:w="102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97"/>
              </w:rPr>
              <w:t>February 3,</w:t>
            </w:r>
          </w:p>
        </w:tc>
        <w:tc>
          <w:tcPr>
            <w:tcW w:w="140" w:type="dxa"/>
            <w:vAlign w:val="bottom"/>
          </w:tcPr>
          <w:p>
            <w:pPr>
              <w:spacing w:after="0"/>
              <w:rPr>
                <w:sz w:val="13"/>
                <w:szCs w:val="13"/>
                <w:color w:val="auto"/>
              </w:rPr>
            </w:pPr>
          </w:p>
        </w:tc>
        <w:tc>
          <w:tcPr>
            <w:tcW w:w="9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January 28,</w:t>
            </w:r>
          </w:p>
        </w:tc>
        <w:tc>
          <w:tcPr>
            <w:tcW w:w="860" w:type="dxa"/>
            <w:vAlign w:val="bottom"/>
          </w:tcPr>
          <w:p>
            <w:pPr>
              <w:spacing w:after="0"/>
              <w:rPr>
                <w:sz w:val="13"/>
                <w:szCs w:val="13"/>
                <w:color w:val="auto"/>
              </w:rPr>
            </w:pPr>
          </w:p>
        </w:tc>
      </w:tr>
      <w:tr>
        <w:trPr>
          <w:trHeight w:val="185"/>
        </w:trPr>
        <w:tc>
          <w:tcPr>
            <w:tcW w:w="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6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Minimum annual rentals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43,791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36,970</w:t>
            </w:r>
          </w:p>
        </w:tc>
        <w:tc>
          <w:tcPr>
            <w:tcW w:w="100" w:type="dxa"/>
            <w:vAlign w:val="bottom"/>
            <w:shd w:val="clear" w:color="auto" w:fill="CCEEFF"/>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3660" w:type="dxa"/>
            <w:vAlign w:val="bottom"/>
            <w:gridSpan w:val="2"/>
          </w:tcPr>
          <w:p>
            <w:pPr>
              <w:ind w:left="860"/>
              <w:spacing w:after="0"/>
              <w:rPr>
                <w:sz w:val="20"/>
                <w:szCs w:val="20"/>
                <w:color w:val="auto"/>
              </w:rPr>
            </w:pPr>
            <w:r>
              <w:rPr>
                <w:rFonts w:ascii="Arial" w:cs="Arial" w:eastAsia="Arial" w:hAnsi="Arial"/>
                <w:sz w:val="18"/>
                <w:szCs w:val="18"/>
                <w:color w:val="auto"/>
              </w:rPr>
              <w:t>Contingent rentals</w:t>
            </w:r>
          </w:p>
        </w:tc>
        <w:tc>
          <w:tcPr>
            <w:tcW w:w="1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1"/>
        </w:trPr>
        <w:tc>
          <w:tcPr>
            <w:tcW w:w="860" w:type="dxa"/>
            <w:vAlign w:val="bottom"/>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43,858</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37,080</w:t>
            </w:r>
          </w:p>
        </w:tc>
        <w:tc>
          <w:tcPr>
            <w:tcW w:w="100" w:type="dxa"/>
            <w:vAlign w:val="bottom"/>
            <w:shd w:val="clear" w:color="auto" w:fill="CCEEFF"/>
          </w:tcPr>
          <w:p>
            <w:pPr>
              <w:spacing w:after="0"/>
              <w:rPr>
                <w:sz w:val="23"/>
                <w:szCs w:val="23"/>
                <w:color w:val="auto"/>
              </w:rPr>
            </w:pPr>
          </w:p>
        </w:tc>
        <w:tc>
          <w:tcPr>
            <w:tcW w:w="860" w:type="dxa"/>
            <w:vAlign w:val="bottom"/>
          </w:tcPr>
          <w:p>
            <w:pPr>
              <w:spacing w:after="0"/>
              <w:rPr>
                <w:sz w:val="23"/>
                <w:szCs w:val="23"/>
                <w:color w:val="auto"/>
              </w:rPr>
            </w:pPr>
          </w:p>
        </w:tc>
      </w:tr>
      <w:tr>
        <w:trPr>
          <w:trHeight w:val="432"/>
        </w:trPr>
        <w:tc>
          <w:tcPr>
            <w:tcW w:w="860" w:type="dxa"/>
            <w:vAlign w:val="bottom"/>
          </w:tcPr>
          <w:p>
            <w:pPr>
              <w:spacing w:after="0"/>
              <w:rPr>
                <w:sz w:val="24"/>
                <w:szCs w:val="24"/>
                <w:color w:val="auto"/>
              </w:rPr>
            </w:pPr>
          </w:p>
        </w:tc>
        <w:tc>
          <w:tcPr>
            <w:tcW w:w="28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86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63" w:name="page64"/>
    <w:bookmarkEnd w:id="6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jc w:val="both"/>
        <w:ind w:left="367" w:right="20"/>
        <w:spacing w:after="0" w:line="264" w:lineRule="auto"/>
        <w:rPr>
          <w:sz w:val="20"/>
          <w:szCs w:val="20"/>
          <w:color w:val="auto"/>
        </w:rPr>
      </w:pPr>
      <w:r>
        <w:rPr>
          <w:rFonts w:ascii="Arial" w:cs="Arial" w:eastAsia="Arial" w:hAnsi="Arial"/>
          <w:sz w:val="18"/>
          <w:szCs w:val="18"/>
          <w:color w:val="auto"/>
        </w:rPr>
        <w:t>The following is a schedule by year of future minimum rental payments required under non-cancelable operating leases, including option renewal periods that are reasonably assured, that have initial or remaining lease terms in excess of one year as of February 2, 2019 (in thousands):</w:t>
      </w:r>
    </w:p>
    <w:p>
      <w:pPr>
        <w:spacing w:after="0" w:line="34" w:lineRule="exact"/>
        <w:rPr>
          <w:sz w:val="20"/>
          <w:szCs w:val="20"/>
          <w:color w:val="auto"/>
        </w:rPr>
      </w:pPr>
    </w:p>
    <w:tbl>
      <w:tblPr>
        <w:tblLayout w:type="fixed"/>
        <w:tblInd w:w="867" w:type="dxa"/>
        <w:tblCellMar>
          <w:top w:w="0" w:type="dxa"/>
          <w:left w:w="0" w:type="dxa"/>
          <w:bottom w:w="0" w:type="dxa"/>
          <w:right w:w="0" w:type="dxa"/>
        </w:tblCellMar>
      </w:tblP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w:t>
            </w: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February 1, 2020</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60,804</w:t>
            </w:r>
          </w:p>
        </w:tc>
        <w:tc>
          <w:tcPr>
            <w:tcW w:w="100" w:type="dxa"/>
            <w:vAlign w:val="bottom"/>
          </w:tcPr>
          <w:p>
            <w:pPr>
              <w:spacing w:after="0"/>
              <w:rPr>
                <w:sz w:val="20"/>
                <w:szCs w:val="20"/>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2021</w:t>
            </w: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January 29, 2022</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49,226</w:t>
            </w:r>
          </w:p>
        </w:tc>
        <w:tc>
          <w:tcPr>
            <w:tcW w:w="100" w:type="dxa"/>
            <w:vAlign w:val="bottom"/>
          </w:tcPr>
          <w:p>
            <w:pPr>
              <w:spacing w:after="0"/>
              <w:rPr>
                <w:sz w:val="20"/>
                <w:szCs w:val="20"/>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28, 2023</w:t>
            </w: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w:t>
            </w:r>
          </w:p>
        </w:tc>
        <w:tc>
          <w:tcPr>
            <w:tcW w:w="100" w:type="dxa"/>
            <w:vAlign w:val="bottom"/>
            <w:shd w:val="clear" w:color="auto" w:fill="CCEEFF"/>
          </w:tcPr>
          <w:p>
            <w:pPr>
              <w:spacing w:after="0"/>
              <w:rPr>
                <w:sz w:val="21"/>
                <w:szCs w:val="2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February 3, 2024</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34,876</w:t>
            </w:r>
          </w:p>
        </w:tc>
        <w:tc>
          <w:tcPr>
            <w:tcW w:w="100" w:type="dxa"/>
            <w:vAlign w:val="bottom"/>
          </w:tcPr>
          <w:p>
            <w:pPr>
              <w:spacing w:after="0"/>
              <w:rPr>
                <w:sz w:val="20"/>
                <w:szCs w:val="20"/>
                <w:color w:val="auto"/>
              </w:rPr>
            </w:pPr>
          </w:p>
        </w:tc>
      </w:tr>
      <w:tr>
        <w:trPr>
          <w:trHeight w:val="249"/>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308,954</w:t>
            </w:r>
          </w:p>
        </w:tc>
        <w:tc>
          <w:tcPr>
            <w:tcW w:w="100" w:type="dxa"/>
            <w:vAlign w:val="bottom"/>
          </w:tcPr>
          <w:p>
            <w:pPr>
              <w:spacing w:after="0"/>
              <w:rPr>
                <w:sz w:val="19"/>
                <w:szCs w:val="19"/>
                <w:color w:val="auto"/>
              </w:rPr>
            </w:pPr>
          </w:p>
        </w:tc>
      </w:tr>
      <w:tr>
        <w:trPr>
          <w:trHeight w:val="21"/>
        </w:trPr>
        <w:tc>
          <w:tcPr>
            <w:tcW w:w="5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7" w:right="20"/>
        <w:spacing w:after="0" w:line="259" w:lineRule="auto"/>
        <w:rPr>
          <w:sz w:val="20"/>
          <w:szCs w:val="20"/>
          <w:color w:val="auto"/>
        </w:rPr>
      </w:pPr>
      <w:r>
        <w:rPr>
          <w:rFonts w:ascii="Arial" w:cs="Arial" w:eastAsia="Arial" w:hAnsi="Arial"/>
          <w:sz w:val="18"/>
          <w:szCs w:val="18"/>
          <w:color w:val="auto"/>
        </w:rPr>
        <w:t>On November 29, 2018, the Company acquired a 58-acre parcel of land in Lancaster, TX for the construction of its third distribution center. Construction of the planned 615,000 square foot facility has commenced and the building is expected to be operational by the first quarter of fiscal 2020. The Company anticipates investing a total of $45 million to $50 million in the project over the course of the construction period and has spent $6.7 million in 2018.</w:t>
      </w:r>
    </w:p>
    <w:p>
      <w:pPr>
        <w:spacing w:after="0" w:line="79" w:lineRule="exact"/>
        <w:rPr>
          <w:sz w:val="20"/>
          <w:szCs w:val="20"/>
          <w:color w:val="auto"/>
        </w:rPr>
      </w:pPr>
    </w:p>
    <w:p>
      <w:pPr>
        <w:jc w:val="both"/>
        <w:ind w:left="367" w:right="20"/>
        <w:spacing w:after="0" w:line="277" w:lineRule="auto"/>
        <w:rPr>
          <w:sz w:val="20"/>
          <w:szCs w:val="20"/>
          <w:color w:val="auto"/>
        </w:rPr>
      </w:pPr>
      <w:r>
        <w:rPr>
          <w:rFonts w:ascii="Arial" w:cs="Arial" w:eastAsia="Arial" w:hAnsi="Arial"/>
          <w:sz w:val="18"/>
          <w:szCs w:val="18"/>
          <w:color w:val="auto"/>
        </w:rPr>
        <w:t>Ollie’s is subject to litigation in the normal course of business. The Company does not believe such actions, either individually or collectively, will have a significant impact on Ollie’s financial position or results of operations.</w:t>
      </w:r>
    </w:p>
    <w:p>
      <w:pPr>
        <w:spacing w:after="0" w:line="58"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21" w:lineRule="exact"/>
        <w:rPr>
          <w:rFonts w:ascii="Arial" w:cs="Arial" w:eastAsia="Arial" w:hAnsi="Arial"/>
          <w:sz w:val="18"/>
          <w:szCs w:val="18"/>
          <w:b w:val="1"/>
          <w:bCs w:val="1"/>
          <w:color w:val="auto"/>
        </w:rPr>
      </w:pPr>
    </w:p>
    <w:p>
      <w:pPr>
        <w:jc w:val="both"/>
        <w:ind w:left="36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During 2012, Ollie’s established an equity incentive plan (the “2012 Plan”), under which stock options were granted to executive officers and key employees as deemed appropriate under the provisions of the 2012 Plan, with an exercise price at the fair value of the underlying stock on the date of grant. The vesting period for options granted under the 2012 Plan is five years (20% ratably per year). Options granted under the 2012 Plan are subject to employment for vesting, expire 10 years from the date of grant, and are not transferable other than upon death. As of July 15, 2015, the date of the pricing of the Company’s initial public offering (the “IPO”), no additional equity grants will be made under the 2012 Plan.</w:t>
      </w:r>
    </w:p>
    <w:p>
      <w:pPr>
        <w:spacing w:after="0" w:line="70" w:lineRule="exact"/>
        <w:rPr>
          <w:rFonts w:ascii="Arial" w:cs="Arial" w:eastAsia="Arial" w:hAnsi="Arial"/>
          <w:sz w:val="18"/>
          <w:szCs w:val="18"/>
          <w:b w:val="1"/>
          <w:bCs w:val="1"/>
          <w:color w:val="auto"/>
        </w:rPr>
      </w:pPr>
    </w:p>
    <w:p>
      <w:pPr>
        <w:jc w:val="both"/>
        <w:ind w:left="36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IPO, the Company adopted the 2015 equity incentive plan (the “2015 Plan”), pursuant to which the Company’s Board of Directors may grant stock options, restricted shares or other awards to employees, directors and consultants. The 2015 Plan allows for the issuance of up to 5,250,000 shares. Awards will be made pursuant to agreements and may be subject to vesting and other restrictions as determined by the Board of Directors or the Compensation Committee of the Board. The Company uses authorized and unissued shares to satisfy share award exercises. As of February 2, 2019, there were 3,464,826 shares available for grant under the 2015 Plan.</w:t>
      </w:r>
    </w:p>
    <w:p>
      <w:pPr>
        <w:spacing w:after="0" w:line="178"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Stock Options</w:t>
      </w:r>
    </w:p>
    <w:p>
      <w:pPr>
        <w:spacing w:after="0" w:line="117" w:lineRule="exact"/>
        <w:rPr>
          <w:rFonts w:ascii="Arial" w:cs="Arial" w:eastAsia="Arial" w:hAnsi="Arial"/>
          <w:sz w:val="18"/>
          <w:szCs w:val="18"/>
          <w:b w:val="1"/>
          <w:bCs w:val="1"/>
          <w:color w:val="auto"/>
        </w:rPr>
      </w:pPr>
    </w:p>
    <w:p>
      <w:pPr>
        <w:jc w:val="both"/>
        <w:ind w:left="367"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exercise price for stock options is determined at the fair value of the underlying stock on the date of grant. The vesting period for awards granted under the 2015 Plan is generally set at four years (25% ratably per year). Awards are subject to employment for vesting, expire 10 years from the date of grant, and are not transferable other than upon death.</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jc w:val="both"/>
        <w:ind w:left="360" w:right="20"/>
        <w:spacing w:after="0" w:line="277" w:lineRule="auto"/>
        <w:rPr>
          <w:sz w:val="20"/>
          <w:szCs w:val="20"/>
          <w:color w:val="auto"/>
        </w:rPr>
      </w:pPr>
      <w:r>
        <w:rPr>
          <w:rFonts w:ascii="Arial" w:cs="Arial" w:eastAsia="Arial" w:hAnsi="Arial"/>
          <w:sz w:val="18"/>
          <w:szCs w:val="18"/>
          <w:color w:val="auto"/>
        </w:rPr>
        <w:t>A summary of the Company’s stock option activity and related information follows for 2016, 2017 and 2018 (in thousands, except share and per share amounts):</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344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intrinsic</w:t>
            </w:r>
          </w:p>
        </w:tc>
      </w:tr>
      <w:tr>
        <w:trPr>
          <w:trHeight w:val="185"/>
        </w:trPr>
        <w:tc>
          <w:tcPr>
            <w:tcW w:w="34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30, 2016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6,991,825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518,277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(135,390)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(1,948,752)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28, 2017</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5,425,960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357,222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(93,867)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(1,230,928)</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3, 2018</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4,458,387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279,629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(23,069)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(968,525)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2, 2019</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3,746,422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239,986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Exercisable at February 2, 2019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2,387,429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168,041</w:t>
            </w:r>
          </w:p>
        </w:tc>
        <w:tc>
          <w:tcPr>
            <w:tcW w:w="100" w:type="dxa"/>
            <w:vAlign w:val="bottom"/>
          </w:tcPr>
          <w:p>
            <w:pPr>
              <w:spacing w:after="0"/>
              <w:rPr>
                <w:sz w:val="19"/>
                <w:szCs w:val="19"/>
                <w:color w:val="auto"/>
              </w:rPr>
            </w:pPr>
          </w:p>
        </w:tc>
      </w:tr>
      <w:tr>
        <w:trPr>
          <w:trHeight w:val="21"/>
        </w:trPr>
        <w:tc>
          <w:tcPr>
            <w:tcW w:w="3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360" w:right="20"/>
        <w:spacing w:after="0" w:line="277" w:lineRule="auto"/>
        <w:rPr>
          <w:sz w:val="20"/>
          <w:szCs w:val="20"/>
          <w:color w:val="auto"/>
        </w:rPr>
      </w:pPr>
      <w:r>
        <w:rPr>
          <w:rFonts w:ascii="Arial" w:cs="Arial" w:eastAsia="Arial" w:hAnsi="Arial"/>
          <w:sz w:val="18"/>
          <w:szCs w:val="18"/>
          <w:color w:val="auto"/>
        </w:rPr>
        <w:t>The intrinsic value of stock options exercised for 2018, 2017 and 2016 was $59.4 million, $42.7 million and $43.9 million, respectively.</w:t>
      </w:r>
    </w:p>
    <w:p>
      <w:pPr>
        <w:spacing w:after="0" w:line="62" w:lineRule="exact"/>
        <w:rPr>
          <w:sz w:val="20"/>
          <w:szCs w:val="20"/>
          <w:color w:val="auto"/>
        </w:rPr>
      </w:pPr>
    </w:p>
    <w:p>
      <w:pPr>
        <w:jc w:val="both"/>
        <w:ind w:left="360" w:right="20"/>
        <w:spacing w:after="0" w:line="264" w:lineRule="auto"/>
        <w:rPr>
          <w:sz w:val="20"/>
          <w:szCs w:val="20"/>
          <w:color w:val="auto"/>
        </w:rPr>
      </w:pPr>
      <w:r>
        <w:rPr>
          <w:rFonts w:ascii="Arial" w:cs="Arial" w:eastAsia="Arial" w:hAnsi="Arial"/>
          <w:sz w:val="18"/>
          <w:szCs w:val="18"/>
          <w:color w:val="auto"/>
        </w:rPr>
        <w:t>The weighted average grant date fair value per option for options granted during 2018, 2017 and 2016 was $18.78, $10.68 and $6.47, respectively. The fair value of each option award is estimated on the date of grant using the Black-Scholes option-pricing model that used the weighted average assumptions in the following table:</w:t>
      </w:r>
    </w:p>
    <w:p>
      <w:pPr>
        <w:spacing w:after="0" w:line="38"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7"/>
              </w:rPr>
              <w:t>Fiscal Year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960" w:type="dxa"/>
            <w:vAlign w:val="bottom"/>
          </w:tcPr>
          <w:p>
            <w:pPr>
              <w:ind w:left="120"/>
              <w:spacing w:after="0" w:line="160" w:lineRule="exact"/>
              <w:rPr>
                <w:sz w:val="20"/>
                <w:szCs w:val="20"/>
                <w:color w:val="auto"/>
              </w:rPr>
            </w:pPr>
            <w:r>
              <w:rPr>
                <w:rFonts w:ascii="Arial" w:cs="Arial" w:eastAsia="Arial" w:hAnsi="Arial"/>
                <w:sz w:val="14"/>
                <w:szCs w:val="14"/>
                <w:b w:val="1"/>
                <w:bCs w:val="1"/>
                <w:color w:val="auto"/>
              </w:rPr>
              <w:t>February 2,</w:t>
            </w:r>
          </w:p>
        </w:tc>
        <w:tc>
          <w:tcPr>
            <w:tcW w:w="180" w:type="dxa"/>
            <w:vAlign w:val="bottom"/>
          </w:tcPr>
          <w:p>
            <w:pPr>
              <w:spacing w:after="0"/>
              <w:rPr>
                <w:sz w:val="13"/>
                <w:szCs w:val="13"/>
                <w:color w:val="auto"/>
              </w:rPr>
            </w:pPr>
          </w:p>
        </w:tc>
        <w:tc>
          <w:tcPr>
            <w:tcW w:w="11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February 3,</w:t>
            </w:r>
          </w:p>
        </w:tc>
        <w:tc>
          <w:tcPr>
            <w:tcW w:w="106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January 28,</w:t>
            </w:r>
          </w:p>
        </w:tc>
      </w:tr>
      <w:tr>
        <w:trPr>
          <w:trHeight w:val="185"/>
        </w:trPr>
        <w:tc>
          <w:tcPr>
            <w:tcW w:w="44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w:t>
            </w: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0"/>
              </w:rPr>
              <w:t>2.20%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w:t>
            </w:r>
          </w:p>
        </w:tc>
        <w:tc>
          <w:tcPr>
            <w:tcW w:w="100" w:type="dxa"/>
            <w:vAlign w:val="bottom"/>
            <w:shd w:val="clear" w:color="auto" w:fill="CCEEFF"/>
          </w:tcPr>
          <w:p>
            <w:pPr>
              <w:spacing w:after="0"/>
              <w:rPr>
                <w:sz w:val="20"/>
                <w:szCs w:val="20"/>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5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6.25 years</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6.25 years</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6.25 years</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25.85%</w:t>
            </w:r>
          </w:p>
        </w:tc>
        <w:tc>
          <w:tcPr>
            <w:tcW w:w="1160" w:type="dxa"/>
            <w:vAlign w:val="bottom"/>
            <w:gridSpan w:val="2"/>
          </w:tcPr>
          <w:p>
            <w:pPr>
              <w:jc w:val="center"/>
              <w:ind w:left="96"/>
              <w:spacing w:after="0"/>
              <w:rPr>
                <w:sz w:val="20"/>
                <w:szCs w:val="20"/>
                <w:color w:val="auto"/>
              </w:rPr>
            </w:pPr>
            <w:r>
              <w:rPr>
                <w:rFonts w:ascii="Arial" w:cs="Arial" w:eastAsia="Arial" w:hAnsi="Arial"/>
                <w:sz w:val="18"/>
                <w:szCs w:val="18"/>
                <w:color w:val="auto"/>
                <w:w w:val="88"/>
              </w:rPr>
              <w:t>28.29%</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28.52%</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left="360" w:right="20"/>
        <w:spacing w:after="0" w:line="255" w:lineRule="auto"/>
        <w:rPr>
          <w:sz w:val="20"/>
          <w:szCs w:val="20"/>
          <w:color w:val="auto"/>
        </w:rPr>
      </w:pPr>
      <w:r>
        <w:rPr>
          <w:rFonts w:ascii="Arial" w:cs="Arial" w:eastAsia="Arial" w:hAnsi="Arial"/>
          <w:sz w:val="18"/>
          <w:szCs w:val="18"/>
          <w:color w:val="auto"/>
        </w:rPr>
        <w:t>The expected life of stock options is estimated using the “simplified method,” as the Company does not have enough historical information to develop reasonable expectations about future exercise patterns and post-vesting employment termination behavior for its stock option grants. The simplified method is based on the average of the vesting tranches and the contractual life of each grant. For stock price volatility, the Company uses comparable public companies as a basis for its expected volatility to calculate the fair value of option grants. The risk-free interest rate is based on U.S. Treasury notes with a term approximating the expected life of the option.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Restricted Stock Units (“RSUs”)</w:t>
      </w:r>
    </w:p>
    <w:p>
      <w:pPr>
        <w:spacing w:after="0" w:line="117"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RSUs are issued at a value not less than the fair market value of the common stock on the date of the grant. RSUs granted to date vest ratably over one to four years or cliff vest in four years. Awards are subject to employment for vesting and are not transferable other than upon death.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1947"/>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ind w:left="3207"/>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summary of the Company’s RSU activity and related information for 2016, 2017 and 2018 is as follows:</w:t>
      </w:r>
    </w:p>
    <w:p>
      <w:pPr>
        <w:spacing w:after="0" w:line="82" w:lineRule="exact"/>
        <w:rPr>
          <w:sz w:val="20"/>
          <w:szCs w:val="20"/>
          <w:color w:val="auto"/>
        </w:rPr>
      </w:pPr>
    </w:p>
    <w:tbl>
      <w:tblPr>
        <w:tblLayout w:type="fixed"/>
        <w:tblInd w:w="86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grant date</w:t>
            </w:r>
          </w:p>
        </w:tc>
      </w:tr>
      <w:tr>
        <w:trPr>
          <w:trHeight w:val="18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of shares</w:t>
            </w:r>
          </w:p>
        </w:tc>
        <w:tc>
          <w:tcPr>
            <w:tcW w:w="18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January 30, 2016</w:t>
            </w:r>
          </w:p>
        </w:tc>
        <w:tc>
          <w:tcPr>
            <w:tcW w:w="142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137,458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January 28, 2017</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136,718</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97,472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(26,665)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balance at February 3, 2018</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207,346</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64,511</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(51,657)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Nonvested balance at February 2, 2019</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220,200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7"/>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17" w:lineRule="exact"/>
        <w:rPr>
          <w:sz w:val="20"/>
          <w:szCs w:val="20"/>
          <w:color w:val="auto"/>
        </w:rPr>
      </w:pPr>
    </w:p>
    <w:p>
      <w:pPr>
        <w:jc w:val="both"/>
        <w:ind w:left="367" w:right="20"/>
        <w:spacing w:after="0" w:line="308" w:lineRule="auto"/>
        <w:rPr>
          <w:sz w:val="20"/>
          <w:szCs w:val="20"/>
          <w:color w:val="auto"/>
        </w:rPr>
      </w:pPr>
      <w:r>
        <w:rPr>
          <w:rFonts w:ascii="Arial" w:cs="Arial" w:eastAsia="Arial" w:hAnsi="Arial"/>
          <w:sz w:val="17"/>
          <w:szCs w:val="17"/>
          <w:color w:val="auto"/>
        </w:rPr>
        <w:t>The compensation cost for stock options and RSUs which has been recorded within SG&amp;A related to the Company’s equity incentive plans was $7.3 million, $7.4 million and $6.7 million for 2018, 2017 and 2016, respectively.</w:t>
      </w:r>
    </w:p>
    <w:p>
      <w:pPr>
        <w:spacing w:after="0" w:line="38" w:lineRule="exact"/>
        <w:rPr>
          <w:sz w:val="20"/>
          <w:szCs w:val="20"/>
          <w:color w:val="auto"/>
        </w:rPr>
      </w:pPr>
    </w:p>
    <w:p>
      <w:pPr>
        <w:jc w:val="both"/>
        <w:ind w:left="367" w:right="20"/>
        <w:spacing w:after="0" w:line="264" w:lineRule="auto"/>
        <w:rPr>
          <w:sz w:val="20"/>
          <w:szCs w:val="20"/>
          <w:color w:val="auto"/>
        </w:rPr>
      </w:pPr>
      <w:r>
        <w:rPr>
          <w:rFonts w:ascii="Arial" w:cs="Arial" w:eastAsia="Arial" w:hAnsi="Arial"/>
          <w:sz w:val="18"/>
          <w:szCs w:val="18"/>
          <w:color w:val="auto"/>
        </w:rPr>
        <w:t>As of February 2, 2019, there was $13.1 million of total unrecognized compensation cost related to non-vested stock-based compensation arrangements. That cost is expected to be recognized over a weighted average period of 2.4 years. Compensation costs related to awards are recognized using the straight-line method.</w:t>
      </w:r>
    </w:p>
    <w:p>
      <w:pPr>
        <w:spacing w:after="0" w:line="69" w:lineRule="exact"/>
        <w:rPr>
          <w:sz w:val="20"/>
          <w:szCs w:val="20"/>
          <w:color w:val="auto"/>
        </w:rPr>
      </w:pPr>
    </w:p>
    <w:p>
      <w:pPr>
        <w:ind w:left="347" w:hanging="347"/>
        <w:spacing w:after="0"/>
        <w:tabs>
          <w:tab w:leader="none" w:pos="34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jc w:val="both"/>
        <w:ind w:left="367"/>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Ollie’s sponsors a defined contribution plan (“the Plan”), qualified under Internal Revenue Code (“IRC”) Section 401(k), for the benefit of employees. An employee becomes eligible to participate in the Plan upon attaining at least 21 years of age and completing three months of full-time employment. An employee may elect to contribute annual compensation up to the maximum allowable under the IRC. The Company assumes all administrative costs of the Plan and matches the employee’s contribution up to 25% of the first 6% of their annual compensation. The portion that the Company matches is vested ratably over six years. The employer matching contributions to the Plan were $0.2 million in each of 2018, 2017 and 2016.</w:t>
      </w:r>
    </w:p>
    <w:p>
      <w:pPr>
        <w:spacing w:after="0" w:line="56" w:lineRule="exact"/>
        <w:rPr>
          <w:rFonts w:ascii="Arial" w:cs="Arial" w:eastAsia="Arial" w:hAnsi="Arial"/>
          <w:sz w:val="18"/>
          <w:szCs w:val="18"/>
          <w:b w:val="1"/>
          <w:bCs w:val="1"/>
          <w:color w:val="auto"/>
        </w:rPr>
      </w:pPr>
    </w:p>
    <w:p>
      <w:pPr>
        <w:jc w:val="both"/>
        <w:ind w:left="367"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the regular matching contribution, the Company may elect to make a discretionary matching contribution. Discretionary contributions shall be allocated as a percentage of compensation of eligible participants for the Plan year. There were no discretionary contributions in 2018, 2017 or 2016.</w:t>
      </w:r>
    </w:p>
    <w:p>
      <w:pPr>
        <w:spacing w:after="0" w:line="69" w:lineRule="exact"/>
        <w:rPr>
          <w:rFonts w:ascii="Arial" w:cs="Arial" w:eastAsia="Arial" w:hAnsi="Arial"/>
          <w:sz w:val="18"/>
          <w:szCs w:val="18"/>
          <w:b w:val="1"/>
          <w:bCs w:val="1"/>
          <w:color w:val="auto"/>
        </w:rPr>
      </w:pPr>
    </w:p>
    <w:p>
      <w:pPr>
        <w:ind w:left="367" w:right="8040" w:hanging="367"/>
        <w:spacing w:after="0" w:line="453" w:lineRule="auto"/>
        <w:tabs>
          <w:tab w:leader="none" w:pos="358"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Common Stock </w:t>
      </w:r>
      <w:r>
        <w:rPr>
          <w:rFonts w:ascii="Arial" w:cs="Arial" w:eastAsia="Arial" w:hAnsi="Arial"/>
          <w:sz w:val="15"/>
          <w:szCs w:val="15"/>
          <w:i w:val="1"/>
          <w:iCs w:val="1"/>
          <w:u w:val="single" w:color="auto"/>
          <w:color w:val="auto"/>
        </w:rPr>
        <w:t>Common Stock</w:t>
      </w:r>
    </w:p>
    <w:p>
      <w:pPr>
        <w:spacing w:after="0" w:line="1" w:lineRule="exact"/>
        <w:rPr>
          <w:rFonts w:ascii="Arial" w:cs="Arial" w:eastAsia="Arial" w:hAnsi="Arial"/>
          <w:sz w:val="15"/>
          <w:szCs w:val="15"/>
          <w:b w:val="1"/>
          <w:bCs w:val="1"/>
          <w:color w:val="auto"/>
        </w:rPr>
      </w:pPr>
    </w:p>
    <w:p>
      <w:pPr>
        <w:jc w:val="both"/>
        <w:ind w:left="367"/>
        <w:spacing w:after="0" w:line="279" w:lineRule="auto"/>
        <w:rPr>
          <w:rFonts w:ascii="Arial" w:cs="Arial" w:eastAsia="Arial" w:hAnsi="Arial"/>
          <w:sz w:val="15"/>
          <w:szCs w:val="15"/>
          <w:b w:val="1"/>
          <w:bCs w:val="1"/>
          <w:color w:val="auto"/>
        </w:rPr>
      </w:pPr>
      <w:r>
        <w:rPr>
          <w:rFonts w:ascii="Arial" w:cs="Arial" w:eastAsia="Arial" w:hAnsi="Arial"/>
          <w:sz w:val="17"/>
          <w:szCs w:val="17"/>
          <w:color w:val="auto"/>
        </w:rPr>
        <w:t>The Company’s capital structure consists of a single class of common stock with one vote per share. The Company has authorized 500,000,000 shares at $0.001 par value per share. Additionally, the Company has authorized 50,000,000 shares of preferred stock at $0.001 par value per share; to date, however, no preferred shares have been issued. Treasury stock, which consists of the Company’s common stock, is accounted for using the cost method.</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6" w:name="page67"/>
    <w:bookmarkEnd w:id="66"/>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367"/>
        <w:spacing w:after="0"/>
        <w:rPr>
          <w:sz w:val="20"/>
          <w:szCs w:val="20"/>
          <w:color w:val="auto"/>
        </w:rPr>
      </w:pPr>
      <w:r>
        <w:rPr>
          <w:rFonts w:ascii="Arial" w:cs="Arial" w:eastAsia="Arial" w:hAnsi="Arial"/>
          <w:sz w:val="18"/>
          <w:szCs w:val="18"/>
          <w:i w:val="1"/>
          <w:iCs w:val="1"/>
          <w:u w:val="single" w:color="auto"/>
          <w:color w:val="auto"/>
        </w:rPr>
        <w:t>Secondary Offerings</w:t>
      </w:r>
    </w:p>
    <w:p>
      <w:pPr>
        <w:spacing w:after="0" w:line="117" w:lineRule="exact"/>
        <w:rPr>
          <w:sz w:val="20"/>
          <w:szCs w:val="20"/>
          <w:color w:val="auto"/>
        </w:rPr>
      </w:pPr>
    </w:p>
    <w:p>
      <w:pPr>
        <w:jc w:val="both"/>
        <w:ind w:left="367" w:right="20"/>
        <w:spacing w:after="0" w:line="290" w:lineRule="auto"/>
        <w:rPr>
          <w:sz w:val="20"/>
          <w:szCs w:val="20"/>
          <w:color w:val="auto"/>
        </w:rPr>
      </w:pPr>
      <w:r>
        <w:rPr>
          <w:rFonts w:ascii="Arial" w:cs="Arial" w:eastAsia="Arial" w:hAnsi="Arial"/>
          <w:sz w:val="16"/>
          <w:szCs w:val="16"/>
          <w:color w:val="auto"/>
        </w:rPr>
        <w:t>On February 18, 2016, the Company completed a secondary offering for certain selling shareholders of 7,873,063 shares of common stock, of which 1,152,500 shares were sold by certain directors, officers and employees upon the exercise of stock options in connection with the offering. In addition, on February 19, 2016, the underwriters exercised their option to purchase an additional 1,180,959 shares of the Company’s common stock from certain selling stockholders. As a result, 9,054,022 shares of common stock were sold by certain selling stockholders at a price of $19.75 per share in this secondary offering. The Company did not sell any shares in or receive any proceeds from this secondary offering, except for $7.5 million of proceeds from the exercise of stock options. The Company incurred expenses of $0.6 million related to legal, accounting and other fees in connection with the secondary offering, which are included in SG&amp;A in the consolidated statement of income for 2016.</w:t>
      </w:r>
    </w:p>
    <w:p>
      <w:pPr>
        <w:spacing w:after="0" w:line="58" w:lineRule="exact"/>
        <w:rPr>
          <w:sz w:val="20"/>
          <w:szCs w:val="20"/>
          <w:color w:val="auto"/>
        </w:rPr>
      </w:pPr>
    </w:p>
    <w:p>
      <w:pPr>
        <w:jc w:val="both"/>
        <w:ind w:left="367"/>
        <w:spacing w:after="0" w:line="255" w:lineRule="auto"/>
        <w:rPr>
          <w:sz w:val="20"/>
          <w:szCs w:val="20"/>
          <w:color w:val="auto"/>
        </w:rPr>
      </w:pPr>
      <w:r>
        <w:rPr>
          <w:rFonts w:ascii="Arial" w:cs="Arial" w:eastAsia="Arial" w:hAnsi="Arial"/>
          <w:sz w:val="18"/>
          <w:szCs w:val="18"/>
          <w:color w:val="auto"/>
        </w:rPr>
        <w:t>On June 6, 2016, the Company completed a secondary offering for certain selling shareholders of 12,152,800 shares of common stock. In addition, on June 10, 2016, the underwriters exercised their option to purchase an additional 1,822,920 shares of the Company’s common stock from certain selling stockholders. As a result, 13,975,720 shares of common stock were sold by certain selling stockholders at a price of $25.00 per share in this secondary offering. The Company did not sell any shares in or receive any proceeds from this secondary offering. The Company incurred expenses of $0.6 million related to legal, accounting and other fees in connection with this secondary offering, which are included in SG&amp;A in the consolidated statement of income for 2016.</w:t>
      </w:r>
    </w:p>
    <w:p>
      <w:pPr>
        <w:spacing w:after="0" w:line="81" w:lineRule="exact"/>
        <w:rPr>
          <w:sz w:val="20"/>
          <w:szCs w:val="20"/>
          <w:color w:val="auto"/>
        </w:rPr>
      </w:pPr>
    </w:p>
    <w:p>
      <w:pPr>
        <w:jc w:val="both"/>
        <w:ind w:left="367"/>
        <w:spacing w:after="0" w:line="276" w:lineRule="auto"/>
        <w:rPr>
          <w:sz w:val="20"/>
          <w:szCs w:val="20"/>
          <w:color w:val="auto"/>
        </w:rPr>
      </w:pPr>
      <w:r>
        <w:rPr>
          <w:rFonts w:ascii="Arial" w:cs="Arial" w:eastAsia="Arial" w:hAnsi="Arial"/>
          <w:sz w:val="17"/>
          <w:szCs w:val="17"/>
          <w:color w:val="auto"/>
        </w:rPr>
        <w:t>On September 6, 2016, the Company completed a secondary offering for certain selling shareholders of 13,725,798 shares of common stock. The shares were sold by certain selling stockholders at a price of $26.07 per share in this secondary offering. The Company did not sell any shares in or receive any proceeds from this secondary offering. The Company incurred expenses of $0.6 million related to legal, accounting and other fees in connection with this secondary offering, which are included in SG&amp;A in the consolidated statement of income for 2016.</w:t>
      </w:r>
    </w:p>
    <w:p>
      <w:pPr>
        <w:spacing w:after="0" w:line="60" w:lineRule="exact"/>
        <w:rPr>
          <w:sz w:val="20"/>
          <w:szCs w:val="20"/>
          <w:color w:val="auto"/>
        </w:rPr>
      </w:pPr>
    </w:p>
    <w:p>
      <w:pPr>
        <w:ind w:left="347" w:hanging="347"/>
        <w:spacing w:after="0"/>
        <w:tabs>
          <w:tab w:leader="none" w:pos="347"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Affiliates and Related Parties</w:t>
      </w:r>
    </w:p>
    <w:p>
      <w:pPr>
        <w:spacing w:after="0" w:line="121" w:lineRule="exact"/>
        <w:rPr>
          <w:rFonts w:ascii="Arial" w:cs="Arial" w:eastAsia="Arial" w:hAnsi="Arial"/>
          <w:sz w:val="18"/>
          <w:szCs w:val="18"/>
          <w:b w:val="1"/>
          <w:bCs w:val="1"/>
          <w:color w:val="auto"/>
        </w:rPr>
      </w:pPr>
    </w:p>
    <w:p>
      <w:pPr>
        <w:jc w:val="both"/>
        <w:ind w:left="367"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entered into five non-cancelable operating leases with related parties for office and store locations that expire at various dates through 2033. The annual lease payments are between $0.9 million and $1.3 million for the next five years and the total remaining payments after the next five years are $4.1 million.</w:t>
      </w:r>
    </w:p>
    <w:p>
      <w:pPr>
        <w:spacing w:after="0" w:line="69" w:lineRule="exact"/>
        <w:rPr>
          <w:rFonts w:ascii="Arial" w:cs="Arial" w:eastAsia="Arial" w:hAnsi="Arial"/>
          <w:sz w:val="18"/>
          <w:szCs w:val="18"/>
          <w:b w:val="1"/>
          <w:bCs w:val="1"/>
          <w:color w:val="auto"/>
        </w:rPr>
      </w:pPr>
    </w:p>
    <w:p>
      <w:pPr>
        <w:ind w:left="347" w:hanging="347"/>
        <w:spacing w:after="0"/>
        <w:tabs>
          <w:tab w:leader="none" w:pos="347"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367"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purposes of the disclosure requirements for segments of a business enterprise, it has been determined that the Company is comprised of one operating segment.</w:t>
      </w:r>
    </w:p>
    <w:p>
      <w:pPr>
        <w:spacing w:after="0" w:line="62"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percentage of net sales by merchandise category for each year presented:</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Fiscal Year Ended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February 2,</w:t>
            </w:r>
          </w:p>
        </w:tc>
        <w:tc>
          <w:tcPr>
            <w:tcW w:w="1200" w:type="dxa"/>
            <w:vAlign w:val="bottom"/>
            <w:gridSpan w:val="4"/>
          </w:tcPr>
          <w:p>
            <w:pPr>
              <w:ind w:left="160"/>
              <w:spacing w:after="0" w:line="160" w:lineRule="exact"/>
              <w:rPr>
                <w:sz w:val="20"/>
                <w:szCs w:val="20"/>
                <w:color w:val="auto"/>
              </w:rPr>
            </w:pPr>
            <w:r>
              <w:rPr>
                <w:rFonts w:ascii="Arial" w:cs="Arial" w:eastAsia="Arial" w:hAnsi="Arial"/>
                <w:sz w:val="14"/>
                <w:szCs w:val="14"/>
                <w:b w:val="1"/>
                <w:bCs w:val="1"/>
                <w:color w:val="auto"/>
              </w:rPr>
              <w:t>February 3,</w:t>
            </w:r>
          </w:p>
        </w:tc>
        <w:tc>
          <w:tcPr>
            <w:tcW w:w="112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rPr>
              <w:t>January 28,</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0" w:type="dxa"/>
            <w:vAlign w:val="bottom"/>
            <w:gridSpan w:val="2"/>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Housewares</w:t>
            </w:r>
          </w:p>
        </w:tc>
        <w:tc>
          <w:tcPr>
            <w:tcW w:w="2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Food</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Bed and bath</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Books and stationery</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Floor coverings</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Electronics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Toys</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Health and beauty aids</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780" w:type="dxa"/>
            <w:vAlign w:val="bottom"/>
            <w:gridSpan w:val="5"/>
          </w:tcPr>
          <w:p>
            <w:pPr>
              <w:jc w:val="right"/>
              <w:ind w:right="100"/>
              <w:spacing w:after="0"/>
              <w:rPr>
                <w:sz w:val="20"/>
                <w:szCs w:val="20"/>
                <w:color w:val="auto"/>
              </w:rPr>
            </w:pPr>
            <w:r>
              <w:rPr>
                <w:rFonts w:ascii="Arial" w:cs="Arial" w:eastAsia="Arial" w:hAnsi="Arial"/>
                <w:sz w:val="18"/>
                <w:szCs w:val="18"/>
                <w:color w:val="auto"/>
              </w:rPr>
              <w:t>100.0%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vMerge w:val="restart"/>
          </w:tcPr>
          <w:p>
            <w:pPr>
              <w:jc w:val="right"/>
              <w:ind w:right="230"/>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7"/>
          </w:cols>
          <w:pgMar w:left="1173" w:top="279" w:right="1159" w:bottom="1440" w:gutter="0" w:footer="0" w:header="0"/>
        </w:sectPr>
      </w:pPr>
    </w:p>
    <w:bookmarkStart w:id="67" w:name="page68"/>
    <w:bookmarkEnd w:id="67"/>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1947"/>
        <w:spacing w:after="0"/>
        <w:rPr>
          <w:sz w:val="20"/>
          <w:szCs w:val="20"/>
          <w:color w:val="auto"/>
        </w:rPr>
      </w:pPr>
      <w:r>
        <w:rPr>
          <w:rFonts w:ascii="Arial" w:cs="Arial" w:eastAsia="Arial" w:hAnsi="Arial"/>
          <w:sz w:val="18"/>
          <w:szCs w:val="18"/>
          <w:b w:val="1"/>
          <w:bCs w:val="1"/>
          <w:color w:val="auto"/>
        </w:rPr>
        <w:t>OLLIE’S BARGAIN OUTLET HOLDINGS, INC. AND SUBSIDIARIES</w:t>
      </w:r>
    </w:p>
    <w:p>
      <w:pPr>
        <w:spacing w:after="0" w:line="175" w:lineRule="exact"/>
        <w:rPr>
          <w:sz w:val="20"/>
          <w:szCs w:val="20"/>
          <w:color w:val="auto"/>
        </w:rPr>
      </w:pPr>
    </w:p>
    <w:p>
      <w:pPr>
        <w:ind w:left="3207"/>
        <w:spacing w:after="0"/>
        <w:rPr>
          <w:sz w:val="20"/>
          <w:szCs w:val="20"/>
          <w:color w:val="auto"/>
        </w:rPr>
      </w:pPr>
      <w:r>
        <w:rPr>
          <w:rFonts w:ascii="Arial" w:cs="Arial" w:eastAsia="Arial" w:hAnsi="Arial"/>
          <w:sz w:val="18"/>
          <w:szCs w:val="18"/>
          <w:color w:val="auto"/>
        </w:rPr>
        <w:t>Notes to Consolidated Financial Statements</w:t>
      </w:r>
    </w:p>
    <w:p>
      <w:pPr>
        <w:spacing w:after="0" w:line="10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(14) Quarterly Results of Operations and Seasonality (Unaudited)</w:t>
      </w:r>
    </w:p>
    <w:p>
      <w:pPr>
        <w:spacing w:after="0" w:line="121" w:lineRule="exact"/>
        <w:rPr>
          <w:sz w:val="20"/>
          <w:szCs w:val="20"/>
          <w:color w:val="auto"/>
        </w:rPr>
      </w:pPr>
    </w:p>
    <w:p>
      <w:pPr>
        <w:jc w:val="both"/>
        <w:ind w:left="367" w:right="20"/>
        <w:spacing w:after="0" w:line="286" w:lineRule="auto"/>
        <w:rPr>
          <w:sz w:val="20"/>
          <w:szCs w:val="20"/>
          <w:color w:val="auto"/>
        </w:rPr>
      </w:pPr>
      <w:r>
        <w:rPr>
          <w:rFonts w:ascii="Arial" w:cs="Arial" w:eastAsia="Arial" w:hAnsi="Arial"/>
          <w:sz w:val="17"/>
          <w:szCs w:val="17"/>
          <w:color w:val="auto"/>
        </w:rPr>
        <w:t>The following table reflects quarterly financial results for 2018 and 2017 (in thousands, except for per share data). Each quarterly period listed below consisted of a 13-week period with the exception of the fourth quarter of 2017, which was a 14-week period. The sum of the four quarters for any given year may not equal annual totals due to rounding.</w:t>
      </w:r>
    </w:p>
    <w:p>
      <w:pPr>
        <w:spacing w:after="0" w:line="2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4"/>
              </w:rPr>
              <w:t>Fourth</w:t>
            </w:r>
          </w:p>
        </w:tc>
        <w:tc>
          <w:tcPr>
            <w:tcW w:w="100" w:type="dxa"/>
            <w:vAlign w:val="bottom"/>
          </w:tcPr>
          <w:p>
            <w:pPr>
              <w:spacing w:after="0"/>
              <w:rPr>
                <w:sz w:val="13"/>
                <w:szCs w:val="13"/>
                <w:color w:val="auto"/>
              </w:rPr>
            </w:pPr>
          </w:p>
        </w:tc>
        <w:tc>
          <w:tcPr>
            <w:tcW w:w="70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Third</w:t>
            </w:r>
          </w:p>
        </w:tc>
        <w:tc>
          <w:tcPr>
            <w:tcW w:w="7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3"/>
                <w:szCs w:val="13"/>
                <w:color w:val="auto"/>
              </w:rPr>
            </w:pPr>
          </w:p>
        </w:tc>
        <w:tc>
          <w:tcPr>
            <w:tcW w:w="7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68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3"/>
                <w:szCs w:val="13"/>
                <w:color w:val="auto"/>
              </w:rPr>
            </w:pPr>
          </w:p>
        </w:tc>
        <w:tc>
          <w:tcPr>
            <w:tcW w:w="6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Third</w:t>
            </w:r>
          </w:p>
        </w:tc>
        <w:tc>
          <w:tcPr>
            <w:tcW w:w="78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3"/>
                <w:szCs w:val="13"/>
                <w:color w:val="auto"/>
              </w:rPr>
            </w:pPr>
          </w:p>
        </w:tc>
        <w:tc>
          <w:tcPr>
            <w:tcW w:w="64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First</w:t>
            </w:r>
          </w:p>
        </w:tc>
      </w:tr>
      <w:tr>
        <w:trPr>
          <w:trHeight w:val="185"/>
        </w:trPr>
        <w:tc>
          <w:tcPr>
            <w:tcW w:w="27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6"/>
                <w:szCs w:val="16"/>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6"/>
              </w:rPr>
              <w:t>393,934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283,606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288,098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275,739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6"/>
              </w:rPr>
              <w:t>356,669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6"/>
              </w:rPr>
              <w:t>238,116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6"/>
              </w:rPr>
              <w:t>254,645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227,602</w:t>
            </w:r>
          </w:p>
        </w:tc>
        <w:tc>
          <w:tcPr>
            <w:tcW w:w="100" w:type="dxa"/>
            <w:vAlign w:val="bottom"/>
            <w:shd w:val="clear" w:color="auto" w:fill="CCEEFF"/>
          </w:tcPr>
          <w:p>
            <w:pPr>
              <w:spacing w:after="0"/>
              <w:rPr>
                <w:sz w:val="19"/>
                <w:szCs w:val="19"/>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156,729</w:t>
            </w: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115,422</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112,624</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112,876</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140,497</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97,989</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100,226</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92,935</w:t>
            </w:r>
          </w:p>
        </w:tc>
        <w:tc>
          <w:tcPr>
            <w:tcW w:w="100" w:type="dxa"/>
            <w:vAlign w:val="bottom"/>
          </w:tcPr>
          <w:p>
            <w:pPr>
              <w:spacing w:after="0"/>
              <w:rPr>
                <w:sz w:val="19"/>
                <w:szCs w:val="19"/>
                <w:color w:val="auto"/>
              </w:rPr>
            </w:pPr>
          </w:p>
        </w:tc>
      </w:tr>
      <w:tr>
        <w:trPr>
          <w:trHeight w:val="239"/>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49,894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24,817</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29,848</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30,454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70,054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18,862</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19,712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w:t>
            </w:r>
          </w:p>
        </w:tc>
        <w:tc>
          <w:tcPr>
            <w:tcW w:w="100" w:type="dxa"/>
            <w:vAlign w:val="bottom"/>
            <w:shd w:val="clear" w:color="auto" w:fill="CCEEFF"/>
          </w:tcPr>
          <w:p>
            <w:pPr>
              <w:spacing w:after="0"/>
              <w:rPr>
                <w:sz w:val="20"/>
                <w:szCs w:val="20"/>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0.79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1.13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0.31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0.32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9"/>
                <w:szCs w:val="19"/>
                <w:color w:val="auto"/>
              </w:rPr>
            </w:pPr>
          </w:p>
        </w:tc>
      </w:tr>
      <w:tr>
        <w:trPr>
          <w:trHeight w:val="239"/>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fourth quarter of 2017 includes a tax benefit of $30.9 million pursuant to the 2017 Tax Act. See Note 7, “Income Taxes.”</w:t>
      </w:r>
    </w:p>
    <w:p>
      <w:pPr>
        <w:spacing w:after="0" w:line="140" w:lineRule="exact"/>
        <w:rPr>
          <w:sz w:val="20"/>
          <w:szCs w:val="20"/>
          <w:color w:val="auto"/>
        </w:rPr>
      </w:pPr>
    </w:p>
    <w:p>
      <w:pPr>
        <w:jc w:val="both"/>
        <w:ind w:left="367"/>
        <w:spacing w:after="0" w:line="255" w:lineRule="auto"/>
        <w:rPr>
          <w:sz w:val="20"/>
          <w:szCs w:val="20"/>
          <w:color w:val="auto"/>
        </w:rPr>
      </w:pPr>
      <w:r>
        <w:rPr>
          <w:rFonts w:ascii="Arial" w:cs="Arial" w:eastAsia="Arial" w:hAnsi="Arial"/>
          <w:sz w:val="18"/>
          <w:szCs w:val="18"/>
          <w:color w:val="auto"/>
        </w:rPr>
        <w:t>The Company’s business is seasonal in nature and demand is generally the highest in the fourth fiscal quarter due to the holiday sales season. To prepare for the holiday sales season, Ollie’s must order and keep in stock more merchandise than is carried during other times of the year and generally engage in additional marketing efforts. The Company expects inventory levels, along with accounts payable and accrued expenses, to reach their highest levels in the third and fourth fiscal quarters in anticipation of increased net sales during the holiday sales season. As a result of this seasonality, and generally because of variation in consumer spending habits, the Company experiences fluctuations in net sales and working capital requirements during the year.</w:t>
      </w:r>
    </w:p>
    <w:p>
      <w:pPr>
        <w:spacing w:after="0" w:line="77" w:lineRule="exact"/>
        <w:rPr>
          <w:sz w:val="20"/>
          <w:szCs w:val="20"/>
          <w:color w:val="auto"/>
        </w:rPr>
      </w:pPr>
    </w:p>
    <w:p>
      <w:pPr>
        <w:ind w:left="347" w:hanging="347"/>
        <w:spacing w:after="0"/>
        <w:tabs>
          <w:tab w:leader="none" w:pos="34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Share Repurchase Authorization</w:t>
      </w:r>
    </w:p>
    <w:p>
      <w:pPr>
        <w:spacing w:after="0" w:line="117" w:lineRule="exact"/>
        <w:rPr>
          <w:rFonts w:ascii="Arial" w:cs="Arial" w:eastAsia="Arial" w:hAnsi="Arial"/>
          <w:sz w:val="18"/>
          <w:szCs w:val="18"/>
          <w:b w:val="1"/>
          <w:bCs w:val="1"/>
          <w:color w:val="auto"/>
        </w:rPr>
      </w:pPr>
    </w:p>
    <w:p>
      <w:pPr>
        <w:jc w:val="both"/>
        <w:ind w:left="367"/>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March 26, 2019, the Board of Directors of the Company authorized the repurchase of up to $100.0 million of the Company’s common stock. The shares to be repurchased may be purchased from time to time in open market conditions (including blocks or in privately negotiated transactions).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has a two-year term, and is subject to suspension or termination by the Company’s Board of Directors at any time.</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right"/>
        <w:ind w:right="2480"/>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16"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Ollie's Bargain Outlet Holdings, Inc. (parent company only)</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52" w:lineRule="exact"/>
        <w:rPr>
          <w:sz w:val="20"/>
          <w:szCs w:val="20"/>
          <w:color w:val="auto"/>
        </w:rPr>
      </w:pPr>
    </w:p>
    <w:tbl>
      <w:tblPr>
        <w:tblLayout w:type="fixed"/>
        <w:tblInd w:w="7400" w:type="dxa"/>
        <w:tblCellMar>
          <w:top w:w="0" w:type="dxa"/>
          <w:left w:w="0" w:type="dxa"/>
          <w:bottom w:w="0" w:type="dxa"/>
          <w:right w:w="0" w:type="dxa"/>
        </w:tblCellMar>
      </w:tblPr>
      <w:tr>
        <w:trPr>
          <w:trHeight w:val="162"/>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2,</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February 3,</w:t>
            </w:r>
          </w:p>
        </w:tc>
      </w:tr>
      <w:tr>
        <w:trPr>
          <w:trHeight w:val="171"/>
        </w:trPr>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r>
    </w:tbl>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07187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Long-term assets: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Investment in subsidiaries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5100" w:type="dxa"/>
        <w:tblCellMar>
          <w:top w:w="0" w:type="dxa"/>
          <w:left w:w="0" w:type="dxa"/>
          <w:bottom w:w="0" w:type="dxa"/>
          <w:right w:w="0" w:type="dxa"/>
        </w:tblCellMar>
      </w:tblPr>
      <w:tr>
        <w:trPr>
          <w:trHeight w:val="23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942,652</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796,462</w:t>
            </w: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942,652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796,462</w:t>
            </w:r>
          </w:p>
        </w:tc>
      </w:tr>
      <w:tr>
        <w:trPr>
          <w:trHeight w:val="21"/>
        </w:trPr>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-496570</wp:posOffset>
            </wp:positionV>
            <wp:extent cx="607187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-1447165</wp:posOffset>
            </wp:positionH>
            <wp:positionV relativeFrom="paragraph">
              <wp:posOffset>-179705</wp:posOffset>
            </wp:positionV>
            <wp:extent cx="607187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-127635</wp:posOffset>
            </wp:positionV>
            <wp:extent cx="607187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1880" w:space="400"/>
            <w:col w:w="7280"/>
          </w:cols>
          <w:pgMar w:left="1180" w:top="279" w:right="11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3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600,234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583,467</w:t>
            </w:r>
          </w:p>
        </w:tc>
        <w:tc>
          <w:tcPr>
            <w:tcW w:w="6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342,441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213,019</w:t>
            </w: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37"/>
        </w:trPr>
        <w:tc>
          <w:tcPr>
            <w:tcW w:w="20" w:type="dxa"/>
            <w:vAlign w:val="bottom"/>
          </w:tcPr>
          <w:p>
            <w:pPr>
              <w:spacing w:after="0"/>
              <w:rPr>
                <w:sz w:val="20"/>
                <w:szCs w:val="20"/>
                <w:color w:val="auto"/>
              </w:rPr>
            </w:pPr>
          </w:p>
        </w:tc>
        <w:tc>
          <w:tcPr>
            <w:tcW w:w="73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942,652</w:t>
            </w:r>
          </w:p>
        </w:tc>
        <w:tc>
          <w:tcPr>
            <w:tcW w:w="16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796,462</w:t>
            </w:r>
          </w:p>
        </w:tc>
        <w:tc>
          <w:tcPr>
            <w:tcW w:w="60" w:type="dxa"/>
            <w:vAlign w:val="bottom"/>
            <w:tcBorders>
              <w:top w:val="single" w:sz="8" w:color="CCEEFF"/>
            </w:tcBorders>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942,652</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796,462</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16"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Ollie’s Bargain Outlet Holdings, Inc. (parent company only)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February 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February 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Pre-opening expenses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 and equity in net income of subsidiaries</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equity in net income of subsidiaries</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 of subsidiaries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127,594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87"/>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16" w:lineRule="exact"/>
        <w:rPr>
          <w:sz w:val="20"/>
          <w:szCs w:val="20"/>
          <w:color w:val="auto"/>
        </w:rPr>
      </w:pPr>
    </w:p>
    <w:p>
      <w:pPr>
        <w:ind w:left="2487"/>
        <w:spacing w:after="0"/>
        <w:rPr>
          <w:sz w:val="20"/>
          <w:szCs w:val="20"/>
          <w:color w:val="auto"/>
        </w:rPr>
      </w:pPr>
      <w:r>
        <w:rPr>
          <w:rFonts w:ascii="Arial" w:cs="Arial" w:eastAsia="Arial" w:hAnsi="Arial"/>
          <w:sz w:val="18"/>
          <w:szCs w:val="18"/>
          <w:b w:val="1"/>
          <w:bCs w:val="1"/>
          <w:color w:val="auto"/>
        </w:rPr>
        <w:t>Ollie’s Bargain Outlet Holdings, Inc. (parent company only)</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04" w:lineRule="exact"/>
        <w:rPr>
          <w:sz w:val="20"/>
          <w:szCs w:val="20"/>
          <w:color w:val="auto"/>
        </w:rPr>
      </w:pPr>
    </w:p>
    <w:p>
      <w:pPr>
        <w:ind w:left="347" w:hanging="347"/>
        <w:spacing w:after="0"/>
        <w:tabs>
          <w:tab w:leader="none" w:pos="34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left="7"/>
        <w:spacing w:after="0" w:line="302" w:lineRule="auto"/>
        <w:rPr>
          <w:sz w:val="20"/>
          <w:szCs w:val="20"/>
          <w:color w:val="auto"/>
        </w:rPr>
      </w:pPr>
      <w:r>
        <w:rPr>
          <w:rFonts w:ascii="Arial" w:cs="Arial" w:eastAsia="Arial" w:hAnsi="Arial"/>
          <w:sz w:val="16"/>
          <w:szCs w:val="16"/>
          <w:color w:val="auto"/>
        </w:rPr>
        <w:t>In the parent-company-only financial statements, Ollie’s Bargain Outlet Holdings, Inc.’s (“the Company”) investment in subsidiaries is stated at cost plus equity in undistributed earnings of subsidiaries since the date of acquisition. The parent-company-only financial statements should be read in conjunction with the Company’s consolidated financial statements. A condensed statement of cash flows was not presented because Ollie’s Bargain Outlet Holdings, Inc. had no cash flow activities during 2018, 2017 or 2016.</w:t>
      </w:r>
    </w:p>
    <w:p>
      <w:pPr>
        <w:spacing w:after="0" w:line="42"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restrictions</w:t>
      </w:r>
    </w:p>
    <w:p>
      <w:pPr>
        <w:spacing w:after="0" w:line="121"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color w:val="auto"/>
        </w:rPr>
        <w:t>Ollie’s Bargain Outlet, Inc., a subsidiary of the Company, made voluntary prepayments of $48.8 million under its Term Loan Facility during 2018, paying the balance in full. Under the terms of the Term Loan Facility, Bargain Parent, Inc., subsidiary of the Company, guaranteed the payment of all principal and interest. In the event of a default under the Term Loan Facility, Bargain Parent, Inc. will be directly liable to the debt holders.</w:t>
      </w:r>
    </w:p>
    <w:p>
      <w:pPr>
        <w:spacing w:after="0" w:line="79"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As of February 2, 2019, Ollie’s Bargain Outlet, Inc. also had $98.9 million available for borrowing under its Revolving Credit Facility. Bargain Parent, Inc. has guaranteed all obligations under the Revolving Credit Facility. In the event of default under the Revolving Credit Facility, Bargain Parent, Inc. will be directly liable to the debt holders. The Revolving Credit Facility matures on January 29, 2021.</w:t>
      </w:r>
    </w:p>
    <w:p>
      <w:pPr>
        <w:spacing w:after="0" w:line="79"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The credit facilities are collateralized by the Company’s assets and equity and contain financial covenants, as well as certain business covenants, including restrictions on dividend payments, which the Company must comply with during the term of such agreements. The Company was in compliance with all terms of such agreements during and as of the fiscal year ended February 2, 2019.</w:t>
      </w:r>
    </w:p>
    <w:p>
      <w:pPr>
        <w:spacing w:after="0" w:line="79" w:lineRule="exact"/>
        <w:rPr>
          <w:sz w:val="20"/>
          <w:szCs w:val="20"/>
          <w:color w:val="auto"/>
        </w:rPr>
      </w:pPr>
    </w:p>
    <w:p>
      <w:pPr>
        <w:jc w:val="both"/>
        <w:ind w:left="7"/>
        <w:spacing w:after="0" w:line="312" w:lineRule="auto"/>
        <w:rPr>
          <w:sz w:val="20"/>
          <w:szCs w:val="20"/>
          <w:color w:val="auto"/>
        </w:rPr>
      </w:pPr>
      <w:r>
        <w:rPr>
          <w:rFonts w:ascii="Arial" w:cs="Arial" w:eastAsia="Arial" w:hAnsi="Arial"/>
          <w:sz w:val="16"/>
          <w:szCs w:val="16"/>
          <w:color w:val="auto"/>
        </w:rPr>
        <w:t>The provisions of the credit facilities restrict all of the net assets of the Company’s consolidated subsidiaries, which constitutes all of the net assets on the Company’s consolidated balance sheet as of February 2, 2019, from being used to pay any dividends or make other restricted payments without prior written consent from the lenders under the credit facilities, subject to certain exceptions.</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quarterly period ended February 2, 2019 that have materially affected, or are reasonably likely to materially affect, its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a system of disclosure controls and procedures (as defined in Rules 13a-15(e) and 15d-15(e) under the Security Exchange Act of 1934, as amended (the “Exchange Act”)) designed to ensure that the information required to be disclosed by the Company in the reports that it files or submits under the Exchange Act is recorded, processed, summarized and reported within the time periods specified in the rules and forms of the Securities and Exchange Commission (“SEC”), and is accumulated and communicated to the Company’s management, including its Chief Executive Officer (principal executive officer) and its Chief Financial Officer (principal financial and accounting officer), as appropriate, to allow timely decisions regarding required disclosure.</w:t>
      </w:r>
    </w:p>
    <w:p>
      <w:pPr>
        <w:spacing w:after="0" w:line="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Company’s management, with the participation of its Chief Executive Officer and Chief Financial Officer, has evaluated the effectiveness of the Company’s disclosure controls and procedures under the Exchange Act as of February 2, 2019, the end of the period covered by this Annual Report on Form 10-K. Based on that evaluation, the Company’s Chief Executive Officer and Chief Financial Officer concluded that, as of February 2, 2019,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Management, including the Chief Executive Officer and Chief Financial Officer, assessed the effectiveness of internal control over financial reporting as of February 2, 2019. Management based this assessment on criteria for effective internal control over financial reporting described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this assessment, management determined that, as of February 2, 2019, the Company maintained effective internal control over financial reporting at a reasonable assurance level.</w:t>
      </w:r>
    </w:p>
    <w:p>
      <w:pPr>
        <w:spacing w:after="0" w:line="6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February 2, 2019 has been audited by KPMG LLP, our independent registered public accounting firm, as stated in their report dated March 29, 2019 that appears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have audited Ollie’s Bargain Outlet Holdings, Inc. and subsidiaries’ (the Company) internal control over financial reporting as of February 2, 2019,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2,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February 2, 2019 and February 3, 2018, the related consolidated statements of income, stockholders’ equity, and cash flows for each of the fiscal years in the three year period ended February 2, 2019, and the related notes and the consolidated financial statement schedule, “Schedule I – Condensed Financial Information of Registrant” (collectively, the consolidated financial statements), and our report dated March 29, 2019 expressed an unqualified opinion on those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2"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will be contained in the Company’s definitive proxy statement in connection with the 2019 Annual Meeting of Stockholders (the “Proxy Statement”), which is expected to be filed with the SEC not later than 120 days after the end of the fiscal year ended February 2, 2019, and is incorporated herein by reference.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Company’s Board of Directors has adopted a Code of Business Ethics that applies to all of its directors, employees and officers, including the Chief Executive Officer and Chief Financial Officer. The current version of the Code of Business Ethics is available on the Company’s website under the Investor Relations section at www.ollies.us. In accordance with the rules adopted by the SEC and NASDAQ, the Company intends to promptly disclose any amendments to certain provisions of the Code of Business Ethics, or waivers of such provisions granted to executive officers and directors, on its website under the Investor Relations section at www.ollies.us. The information contained on or accessible through the Company’s website is not incorporated by reference into this Annual Report on Form 10-K.</w:t>
      </w:r>
    </w:p>
    <w:p>
      <w:pPr>
        <w:spacing w:after="0" w:line="7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Financial Statement Schedules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“Index to Consolidated Financial Statements” in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OLLIE’S BARGAIN OUTLET HOLDINGS, INC.</w:t>
      </w:r>
    </w:p>
    <w:p>
      <w:pPr>
        <w:spacing w:after="0" w:line="283" w:lineRule="exact"/>
        <w:rPr>
          <w:sz w:val="20"/>
          <w:szCs w:val="20"/>
          <w:color w:val="auto"/>
        </w:rPr>
      </w:pPr>
    </w:p>
    <w:p>
      <w:pPr>
        <w:spacing w:after="0"/>
        <w:tabs>
          <w:tab w:leader="none" w:pos="4000" w:val="left"/>
          <w:tab w:leader="none" w:pos="448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Jay Stasz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14605</wp:posOffset>
            </wp:positionV>
            <wp:extent cx="32416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Jay Stasz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Mark Butler, Jay Stasz and Kenneth R. Bertram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hereof.Pursuant to the requirements of the Securities Exchange Act of 1934, as amended, this Annual Report on Form 10-K has been signed below by the following persons on behalf of the Registrant in the capacities and on the dates indicated.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Butler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40" w:type="dxa"/>
            <w:vAlign w:val="bottom"/>
            <w:vMerge w:val="restart"/>
          </w:tcPr>
          <w:p>
            <w:pPr>
              <w:jc w:val="center"/>
              <w:spacing w:after="0"/>
              <w:rPr>
                <w:sz w:val="20"/>
                <w:szCs w:val="20"/>
                <w:color w:val="auto"/>
              </w:rPr>
            </w:pPr>
            <w:r>
              <w:rPr>
                <w:rFonts w:ascii="Arial" w:cs="Arial" w:eastAsia="Arial" w:hAnsi="Arial"/>
                <w:sz w:val="18"/>
                <w:szCs w:val="18"/>
                <w:color w:val="auto"/>
                <w:w w:val="95"/>
              </w:rPr>
              <w:t>Mark Butler</w:t>
            </w:r>
          </w:p>
        </w:tc>
        <w:tc>
          <w:tcPr>
            <w:tcW w:w="100" w:type="dxa"/>
            <w:vAlign w:val="bottom"/>
          </w:tcPr>
          <w:p>
            <w:pPr>
              <w:spacing w:after="0"/>
              <w:rPr>
                <w:sz w:val="15"/>
                <w:szCs w:val="15"/>
                <w:color w:val="auto"/>
              </w:rPr>
            </w:pPr>
          </w:p>
        </w:tc>
        <w:tc>
          <w:tcPr>
            <w:tcW w:w="4800" w:type="dxa"/>
            <w:vAlign w:val="bottom"/>
          </w:tcPr>
          <w:p>
            <w:pPr>
              <w:jc w:val="center"/>
              <w:spacing w:after="0" w:line="182" w:lineRule="exact"/>
              <w:rPr>
                <w:sz w:val="20"/>
                <w:szCs w:val="20"/>
                <w:color w:val="auto"/>
              </w:rPr>
            </w:pPr>
            <w:r>
              <w:rPr>
                <w:rFonts w:ascii="Arial" w:cs="Arial" w:eastAsia="Arial" w:hAnsi="Arial"/>
                <w:sz w:val="18"/>
                <w:szCs w:val="18"/>
                <w:color w:val="auto"/>
                <w:w w:val="90"/>
              </w:rPr>
              <w:t>and Chairman of the Board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Swygert</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1"/>
              </w:rPr>
              <w:t>Executive Vice President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1"/>
              </w:rPr>
              <w:t>John Swygert</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and Chief Operating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Jay Stasz</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0"/>
              </w:rPr>
              <w:t>Senior Vice President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40" w:type="dxa"/>
            <w:vAlign w:val="bottom"/>
            <w:vMerge w:val="restart"/>
          </w:tcPr>
          <w:p>
            <w:pPr>
              <w:jc w:val="center"/>
              <w:spacing w:after="0"/>
              <w:rPr>
                <w:sz w:val="20"/>
                <w:szCs w:val="20"/>
                <w:color w:val="auto"/>
              </w:rPr>
            </w:pPr>
            <w:r>
              <w:rPr>
                <w:rFonts w:ascii="Arial" w:cs="Arial" w:eastAsia="Arial" w:hAnsi="Arial"/>
                <w:sz w:val="18"/>
                <w:szCs w:val="18"/>
                <w:color w:val="auto"/>
                <w:w w:val="84"/>
              </w:rPr>
              <w:t>Jay Stasz</w:t>
            </w:r>
          </w:p>
        </w:tc>
        <w:tc>
          <w:tcPr>
            <w:tcW w:w="100" w:type="dxa"/>
            <w:vAlign w:val="bottom"/>
          </w:tcPr>
          <w:p>
            <w:pPr>
              <w:spacing w:after="0"/>
              <w:rPr>
                <w:sz w:val="15"/>
                <w:szCs w:val="15"/>
                <w:color w:val="auto"/>
              </w:rPr>
            </w:pPr>
          </w:p>
        </w:tc>
        <w:tc>
          <w:tcPr>
            <w:tcW w:w="4800" w:type="dxa"/>
            <w:vAlign w:val="bottom"/>
          </w:tcPr>
          <w:p>
            <w:pPr>
              <w:jc w:val="center"/>
              <w:spacing w:after="0" w:line="182" w:lineRule="exact"/>
              <w:rPr>
                <w:sz w:val="20"/>
                <w:szCs w:val="20"/>
                <w:color w:val="auto"/>
              </w:rPr>
            </w:pPr>
            <w:r>
              <w:rPr>
                <w:rFonts w:ascii="Arial" w:cs="Arial" w:eastAsia="Arial" w:hAnsi="Arial"/>
                <w:sz w:val="18"/>
                <w:szCs w:val="18"/>
                <w:color w:val="auto"/>
                <w:w w:val="93"/>
              </w:rPr>
              <w:t>and Chief Financial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Zannino</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0"/>
              </w:rPr>
              <w:t>Richard Zannino</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White</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1"/>
              </w:rPr>
              <w:t>Stephen White</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Stanley Fleishman</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89"/>
              </w:rPr>
              <w:t>Stanley Fleishman</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Hendrickson</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0"/>
              </w:rPr>
              <w:t>Thomas Hendrickson</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Fisch</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0"/>
              </w:rPr>
              <w:t>Robert Fisch</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640" w:type="dxa"/>
            <w:vAlign w:val="bottom"/>
          </w:tcPr>
          <w:p>
            <w:pPr>
              <w:spacing w:after="0"/>
              <w:rPr>
                <w:sz w:val="24"/>
                <w:szCs w:val="24"/>
                <w:color w:val="auto"/>
              </w:rPr>
            </w:pPr>
          </w:p>
        </w:tc>
        <w:tc>
          <w:tcPr>
            <w:tcW w:w="4900" w:type="dxa"/>
            <w:vAlign w:val="bottom"/>
            <w:gridSpan w:val="2"/>
          </w:tcPr>
          <w:p>
            <w:pPr>
              <w:jc w:val="right"/>
              <w:ind w:right="4591"/>
              <w:spacing w:after="0"/>
              <w:rPr>
                <w:sz w:val="20"/>
                <w:szCs w:val="20"/>
                <w:color w:val="auto"/>
              </w:rPr>
            </w:pPr>
            <w:r>
              <w:rPr>
                <w:rFonts w:ascii="Arial" w:cs="Arial" w:eastAsia="Arial" w:hAnsi="Arial"/>
                <w:sz w:val="18"/>
                <w:szCs w:val="18"/>
                <w:color w:val="auto"/>
                <w:w w:val="99"/>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8700" w:type="dxa"/>
            <w:vAlign w:val="bottom"/>
            <w:tcBorders>
              <w:bottom w:val="single" w:sz="8" w:color="auto"/>
            </w:tcBorders>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860" w:type="dxa"/>
            <w:vAlign w:val="bottom"/>
            <w:gridSpan w:val="3"/>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700" w:type="dxa"/>
            <w:vAlign w:val="bottom"/>
          </w:tcPr>
          <w:p>
            <w:pPr>
              <w:ind w:left="200"/>
              <w:spacing w:after="0" w:line="182" w:lineRule="exact"/>
              <w:rPr>
                <w:sz w:val="20"/>
                <w:szCs w:val="20"/>
                <w:color w:val="auto"/>
              </w:rPr>
            </w:pPr>
            <w:r>
              <w:rPr>
                <w:rFonts w:ascii="Arial" w:cs="Arial" w:eastAsia="Arial" w:hAnsi="Arial"/>
                <w:sz w:val="18"/>
                <w:szCs w:val="18"/>
                <w:color w:val="auto"/>
                <w:w w:val="92"/>
              </w:rPr>
              <w:t>Second Amended and Restated Certificate of Incorporation of Ollie’s Bargain Outlet Holdings, Inc. (incorporated by</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reference to Exhibit 3.1 to the Current Report filed on Form 8-K by the Company on July 21, 2015 (No. 001-37501)).</w:t>
            </w:r>
          </w:p>
        </w:tc>
      </w:tr>
      <w:tr>
        <w:trPr>
          <w:trHeight w:val="446"/>
        </w:trPr>
        <w:tc>
          <w:tcPr>
            <w:tcW w:w="860" w:type="dxa"/>
            <w:vAlign w:val="bottom"/>
            <w:gridSpan w:val="3"/>
          </w:tcPr>
          <w:p>
            <w:pPr>
              <w:spacing w:after="0"/>
              <w:rPr>
                <w:rFonts w:ascii="Arial" w:cs="Arial" w:eastAsia="Arial" w:hAnsi="Arial"/>
                <w:sz w:val="18"/>
                <w:szCs w:val="18"/>
                <w:color w:val="0000EE"/>
              </w:rPr>
            </w:pPr>
            <w:hyperlink r:id="rId8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2"/>
              </w:rPr>
              <w:t>Second Amended and Restated Bylaws of Ollie’s Bargain Outlet Holdings, Inc. (incorporated by reference to Exhibit</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3.2 to the Current Report filed on Form 8-K by the Company on July 21, 2015 (No. 001-37501)).</w:t>
            </w:r>
          </w:p>
        </w:tc>
      </w:tr>
      <w:tr>
        <w:trPr>
          <w:trHeight w:val="446"/>
        </w:trPr>
        <w:tc>
          <w:tcPr>
            <w:tcW w:w="860" w:type="dxa"/>
            <w:vAlign w:val="bottom"/>
            <w:gridSpan w:val="3"/>
          </w:tcPr>
          <w:p>
            <w:pPr>
              <w:spacing w:after="0"/>
              <w:rPr>
                <w:rFonts w:ascii="Arial" w:cs="Arial" w:eastAsia="Arial" w:hAnsi="Arial"/>
                <w:sz w:val="18"/>
                <w:szCs w:val="18"/>
                <w:color w:val="0000EE"/>
              </w:rPr>
            </w:pPr>
            <w:hyperlink r:id="rId8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2"/>
              </w:rPr>
              <w:t>Form of Certificate of Common Stock (incorporated by reference to Exhibit 4.1 to Amendment No. 3 to the Form S-1</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Registration Statement filed by the Company on July 8,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8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4"/>
              </w:rPr>
              <w:t>Amended and Restated Stockholders Agreement, by and among Bargain Holdings, Inc. and certain stockholders</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named therein (incorporated by reference to Exhibit 4.1 to the Current Report filed on Form 8-K by the Company on</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July 21, 2015 (No. 001-37501)).</w:t>
            </w:r>
          </w:p>
        </w:tc>
      </w:tr>
      <w:tr>
        <w:trPr>
          <w:trHeight w:val="446"/>
        </w:trPr>
        <w:tc>
          <w:tcPr>
            <w:tcW w:w="860" w:type="dxa"/>
            <w:vAlign w:val="bottom"/>
            <w:gridSpan w:val="3"/>
          </w:tcPr>
          <w:p>
            <w:pPr>
              <w:spacing w:after="0"/>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2"/>
              </w:rPr>
              <w:t>Credit Agreement, dated as of September 28, 2012, among Ollie’s Holdings, Inc. and Ollie’s Bargain Outlet, Inc. as</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Borrowers, Bargain Parent, Inc., as Parent, the Lenders party thereto, Manufacturers and Traders Trust Company as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7"/>
              </w:rPr>
              <w:t>Administrative Agent and KeyBank National Association and Jefferies Finance LLC as Co-Syndication Agents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10.1 to the Form S-1 Registration Statement filed by the Company on June 15,</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1"/>
              </w:rPr>
              <w:t>Guarantee and Collateral Agreement, dated September 28, 2012, among Bargain Parent, Inc., Ollie’s Holdings, Inc.,</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6"/>
              </w:rPr>
              <w:t>certain Subsidiaries of Ollie’s Holdings, Inc. and Manufacturers and Traders Trust Company, as Administrative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4"/>
              </w:rPr>
              <w:t>Agent (incorporated by reference to Exhibit 10.2 to the Form S-1 Registration Statement filed by the Company on</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June 15,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3"/>
              </w:rPr>
              <w:t>First Amendment to Credit Agreement and First Amendment to Collateral Agreement, dated February 26, 2013, to</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Credit Agreement, dated as of September 28, 2012, among Ollie’s Holdings, Inc. and Ollie’s Bargain Outlet, Inc. as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Borrowers, Bargain Parent, Inc., as Parent, the Lenders party thereto, Manufacturers and Traders Trust Company as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7"/>
              </w:rPr>
              <w:t>Administrative Agent and KeyBank National Association and Jefferies Finance LLC as Co-Syndication Agents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10.3 to the Form S-1 Registration Statement filed by the Company on June 15,</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5"/>
              </w:rPr>
              <w:t>Second Amendment, dated April 11, 2014, to Credit Agreement, dated as of September 28, 2012, among Ollie’s</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6"/>
              </w:rPr>
              <w:t>Holdings, Inc. and Ollie’s Bargain Outlet, Inc. as Borrowers, Bargain Parent, Inc., as Parent, the Lenders party</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thereto, Manufacturers and Traders Trust Company as Administrative Agent and KeyBank National Association and</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9"/>
              </w:rPr>
              <w:t>Jefferies Finance LLC as Co-Syndication Agents (incorporated by reference to Exhibit 10.4 to the Form S-1</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Registration Statement filed by the Company on June 15,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7"/>
              </w:rPr>
              <w:t>Credit Agreement, dated September 28, 2012, among Ollie’s Holdings, Inc. and Ollie’s Bargain Outlet, Inc. as</w:t>
            </w: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Borrowers, Bargain Parent, Inc., as Parent, the Lenders party thereto, Jefferies Finance LLC as Administrative Agent</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3"/>
              </w:rPr>
              <w:t>and Manufacturers and Traders Trust Company and KeyBank National Association and as Co-Syndication Agents</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10.5 to the Form S-1 Registration Statement filed by the Company on June 15,</w:t>
            </w: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1"/>
              </w:rPr>
              <w:t>Guarantee and Collateral Agreement, dated September 28, 2012, among Bargain Parent, Inc., Ollie’s Holdings, Inc.,</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4"/>
              </w:rPr>
              <w:t>certain Subsidiaries of Ollie’s Holdings, Inc. and Jefferies Finance LLC, as Administrative Agent (incorporated by</w:t>
            </w:r>
          </w:p>
        </w:tc>
      </w:tr>
    </w:tbl>
    <w:p>
      <w:pPr>
        <w:ind w:left="1060" w:right="220"/>
        <w:spacing w:after="0" w:line="261" w:lineRule="auto"/>
        <w:rPr>
          <w:sz w:val="20"/>
          <w:szCs w:val="20"/>
          <w:color w:val="auto"/>
        </w:rPr>
      </w:pPr>
      <w:r>
        <w:rPr>
          <w:rFonts w:ascii="Arial" w:cs="Arial" w:eastAsia="Arial" w:hAnsi="Arial"/>
          <w:sz w:val="18"/>
          <w:szCs w:val="18"/>
          <w:color w:val="auto"/>
        </w:rPr>
        <w:t>reference to Exhibit 10.6 to the Form S-1 Registration Statement filed by the Company on June 15, 2015 (No. 333-204942)).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8700" w:type="dxa"/>
            <w:vAlign w:val="bottom"/>
            <w:tcBorders>
              <w:bottom w:val="single" w:sz="8" w:color="auto"/>
            </w:tcBorders>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860" w:type="dxa"/>
            <w:vAlign w:val="bottom"/>
            <w:gridSpan w:val="3"/>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8700" w:type="dxa"/>
            <w:vAlign w:val="bottom"/>
          </w:tcPr>
          <w:p>
            <w:pPr>
              <w:ind w:left="200"/>
              <w:spacing w:after="0" w:line="182" w:lineRule="exact"/>
              <w:rPr>
                <w:sz w:val="20"/>
                <w:szCs w:val="20"/>
                <w:color w:val="auto"/>
              </w:rPr>
            </w:pPr>
            <w:r>
              <w:rPr>
                <w:rFonts w:ascii="Arial" w:cs="Arial" w:eastAsia="Arial" w:hAnsi="Arial"/>
                <w:sz w:val="18"/>
                <w:szCs w:val="18"/>
                <w:color w:val="auto"/>
                <w:w w:val="93"/>
              </w:rPr>
              <w:t>First Amendment to Credit Agreement and First Amendment to Collateral Agreement, dated February 26, 2013, to</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Credit Agreement, dated as of September 28, 2012, among Ollie’s Holdings, Inc. and Ollie’s Bargain Outlet, Inc. as</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Borrowers, Bargain Parent, Inc., as Parent, the Lenders party thereto, Jefferies Finance LLC as Administrative Agent</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3"/>
              </w:rPr>
              <w:t>and Manufacturers and Traders Trust Company and KeyBank National Association and as Co-Syndication Agents</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10.7 to the Form S-1 Registration Statement filed by the Company on June 15,</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4"/>
              </w:rPr>
              <w:t>Second Amendment and Consent, dated April 11, 2014, to Credit Agreement, dated September 28, 2012, among</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Ollie’s Holdings, Inc. and Ollie’s Bargain Outlet, Inc. as Borrowers, Bargain Parent, Inc., as Parent, the Lenders party</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0"/>
              </w:rPr>
              <w:t>thereto, Jefferies Finance LLC as Administrative Agent and Manufacturers and Traders Trust Company and KeyBank</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6"/>
              </w:rPr>
              <w:t>National Association and as Co-Syndication Agents (incorporated by reference to Exhibit 10.8 to the Form S-1</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Registration Statement filed by the Company on June 15,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6"/>
              </w:rPr>
              <w:t>Credit Agreement, dated as of January 29, 2016, by and among Ollie’s Holdings, Inc., a Delaware corporation,</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5"/>
              </w:rPr>
              <w:t>Ollie’s Bargain Outlet, Inc., a Pennsylvania corporation, and any subsidiary loan party that becomes a Borrower</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pursuant to the terms thereto, as borrowers, Bargain Parent, Inc., a Delaware corporation, as parent, Manufacturers</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4"/>
              </w:rPr>
              <w:t>and Traders Trust Company, as administrative agent, the other agents party thereto and the lenders party thereto</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3"/>
              </w:rPr>
              <w:t>(incorporated by reference to Exhibit 10.1 to the Current Report filed on Form 8-K by the Company on February 2,</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2016 (No. 001-37501)).</w:t>
            </w:r>
          </w:p>
        </w:tc>
      </w:tr>
      <w:tr>
        <w:trPr>
          <w:trHeight w:val="446"/>
        </w:trPr>
        <w:tc>
          <w:tcPr>
            <w:tcW w:w="860" w:type="dxa"/>
            <w:vAlign w:val="bottom"/>
            <w:gridSpan w:val="3"/>
          </w:tcPr>
          <w:p>
            <w:pPr>
              <w:spacing w:after="0"/>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5"/>
              </w:rPr>
              <w:t>Guarantee and Collateral Agreement, dated as of January 29, 2016, by and among Bargain Parent, Inc., Ollie’s</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Holdings, Inc. and certain Subsidiaries of Ollie’s Holdings, Inc. in favor of Manufacturers and Traders Trust</w:t>
            </w:r>
          </w:p>
        </w:tc>
      </w:tr>
      <w:tr>
        <w:trPr>
          <w:trHeight w:val="216"/>
        </w:trPr>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2"/>
              </w:rPr>
              <w:t>Company, as Administrative Agent (incorporated by reference to Exhibit 10.2 to the Current Report filed on Form 8-</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K by the Company on February 2, 2016 (No. 001-37501)).</w:t>
            </w:r>
          </w:p>
        </w:tc>
      </w:tr>
      <w:tr>
        <w:trPr>
          <w:trHeight w:val="446"/>
        </w:trPr>
        <w:tc>
          <w:tcPr>
            <w:tcW w:w="860" w:type="dxa"/>
            <w:vAlign w:val="bottom"/>
            <w:gridSpan w:val="3"/>
          </w:tcPr>
          <w:p>
            <w:pPr>
              <w:spacing w:after="0"/>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2"/>
              </w:rPr>
              <w:t>Form of Director and Officer Indemnification Agreement (incorporated by reference to Exhibit 10.9.1 to Amendment</w:t>
            </w:r>
          </w:p>
        </w:tc>
      </w:tr>
      <w:tr>
        <w:trPr>
          <w:trHeight w:val="237"/>
        </w:trPr>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No. 3 to the Form S-1 Registration Statement filed by the Company on July 8,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4"/>
              </w:rPr>
              <w:t>Form of Sponsor Director Indemnification Agreement (incorporated by reference to Exhibit 10.9.2 to Amendment</w:t>
            </w:r>
          </w:p>
        </w:tc>
      </w:tr>
      <w:tr>
        <w:trPr>
          <w:trHeight w:val="237"/>
        </w:trPr>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No. 3 to the Form S-1 Registration Statement filed by the Company on July 8,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4"/>
              </w:rPr>
              <w:t>Employment Agreement, dated September 28, 2012, by and between Ollie’s Bargain Outlet, Inc. and Mark Butler</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10.10 to the Form S-1 Registration Statement filed by the Company on June 15,</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7"/>
              </w:rPr>
              <w:t>Employment Agreement, dated September 28, 2012, by and between Ollie’s Bargain Outlet, Inc. and John W.</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0"/>
              </w:rPr>
              <w:t>Swygert, Jr. (incorporated by reference to Exhibit 10.11 to the Form S-1 Registration Statement filed by the Company</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on June 15, 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6"/>
              </w:rPr>
              <w:t>Employment Agreement, dated January 6, 2014, by and between Ollie’s Bargain Outlet, Inc. and Omar Segura</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10.12 to the Form S-1 Registration Statement filed by the Company on June 15,</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446"/>
        </w:trPr>
        <w:tc>
          <w:tcPr>
            <w:tcW w:w="860" w:type="dxa"/>
            <w:vAlign w:val="bottom"/>
            <w:gridSpan w:val="3"/>
          </w:tcPr>
          <w:p>
            <w:pPr>
              <w:spacing w:after="0"/>
              <w:rPr>
                <w:rFonts w:ascii="Arial" w:cs="Arial" w:eastAsia="Arial" w:hAnsi="Arial"/>
                <w:sz w:val="18"/>
                <w:szCs w:val="18"/>
                <w:color w:val="0000EE"/>
              </w:rPr>
            </w:pPr>
            <w:hyperlink r:id="rId106">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8700" w:type="dxa"/>
            <w:vAlign w:val="bottom"/>
          </w:tcPr>
          <w:p>
            <w:pPr>
              <w:ind w:left="200"/>
              <w:spacing w:after="0"/>
              <w:rPr>
                <w:sz w:val="20"/>
                <w:szCs w:val="20"/>
                <w:color w:val="auto"/>
              </w:rPr>
            </w:pPr>
            <w:r>
              <w:rPr>
                <w:rFonts w:ascii="Arial" w:cs="Arial" w:eastAsia="Arial" w:hAnsi="Arial"/>
                <w:sz w:val="18"/>
                <w:szCs w:val="18"/>
                <w:color w:val="auto"/>
                <w:w w:val="98"/>
              </w:rPr>
              <w:t>Employment Agreement, dated May 12, 2014, by and between Ollie’s Bargain Outlet, Inc. and Kevin McLain</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10.13 to the Form S-1 Registration Statement filed by the Company on June 15,</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2015 (No. 333-204942)).</w:t>
            </w:r>
          </w:p>
        </w:tc>
      </w:tr>
      <w:tr>
        <w:trPr>
          <w:trHeight w:val="68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700" w:type="dxa"/>
            <w:vAlign w:val="bottom"/>
          </w:tcPr>
          <w:p>
            <w:pPr>
              <w:ind w:left="3820"/>
              <w:spacing w:after="0"/>
              <w:rPr>
                <w:sz w:val="20"/>
                <w:szCs w:val="20"/>
                <w:color w:val="auto"/>
              </w:rPr>
            </w:pPr>
            <w:r>
              <w:rPr>
                <w:rFonts w:ascii="Arial" w:cs="Arial" w:eastAsia="Arial" w:hAnsi="Arial"/>
                <w:sz w:val="18"/>
                <w:szCs w:val="18"/>
                <w:color w:val="auto"/>
              </w:rPr>
              <w:t>74</w:t>
            </w:r>
          </w:p>
        </w:tc>
      </w:tr>
      <w:tr>
        <w:trPr>
          <w:trHeight w:val="45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87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spacing w:after="0"/>
        <w:tabs>
          <w:tab w:leader="none" w:pos="4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7" w:lineRule="exact"/>
        <w:rPr>
          <w:sz w:val="20"/>
          <w:szCs w:val="20"/>
          <w:color w:val="auto"/>
        </w:rPr>
      </w:pPr>
    </w:p>
    <w:p>
      <w:pPr>
        <w:ind w:left="1060" w:right="100" w:hanging="1066"/>
        <w:spacing w:after="0" w:line="264" w:lineRule="auto"/>
        <w:tabs>
          <w:tab w:leader="none" w:pos="1040" w:val="left"/>
        </w:tabs>
        <w:rPr>
          <w:rFonts w:ascii="Arial" w:cs="Arial" w:eastAsia="Arial" w:hAnsi="Arial"/>
          <w:sz w:val="18"/>
          <w:szCs w:val="18"/>
          <w:color w:val="0000EE"/>
        </w:rPr>
      </w:pPr>
      <w:hyperlink r:id="rId108">
        <w:r>
          <w:rPr>
            <w:rFonts w:ascii="Arial" w:cs="Arial" w:eastAsia="Arial" w:hAnsi="Arial"/>
            <w:sz w:val="18"/>
            <w:szCs w:val="18"/>
            <w:u w:val="single" w:color="auto"/>
            <w:color w:val="0000EE"/>
          </w:rPr>
          <w:t>10.17†</w:t>
        </w:r>
      </w:hyperlink>
      <w:r>
        <w:rPr>
          <w:rFonts w:ascii="Arial" w:cs="Arial" w:eastAsia="Arial" w:hAnsi="Arial"/>
          <w:sz w:val="18"/>
          <w:szCs w:val="18"/>
          <w:color w:val="0000EE"/>
        </w:rPr>
        <w:tab/>
        <w:t>Employment Agreement, dated September 28, 2012, by and between Ollie’s Bargain Outlet, Inc. and Howard Freedman (incorporated by reference to Exhibit 10.14 to the Form S-1 Registration Statement filed by the Company on June 15, 2015 (No. 333-204942)).</w:t>
      </w:r>
    </w:p>
    <w:p>
      <w:pPr>
        <w:spacing w:after="0" w:line="235" w:lineRule="exact"/>
        <w:rPr>
          <w:sz w:val="20"/>
          <w:szCs w:val="20"/>
          <w:color w:val="auto"/>
        </w:rPr>
      </w:pPr>
    </w:p>
    <w:p>
      <w:pPr>
        <w:ind w:left="1060" w:hanging="1066"/>
        <w:spacing w:after="0" w:line="264" w:lineRule="auto"/>
        <w:tabs>
          <w:tab w:leader="none" w:pos="1040" w:val="left"/>
        </w:tabs>
        <w:rPr>
          <w:rFonts w:ascii="Arial" w:cs="Arial" w:eastAsia="Arial" w:hAnsi="Arial"/>
          <w:sz w:val="18"/>
          <w:szCs w:val="18"/>
          <w:color w:val="0000EE"/>
        </w:rPr>
      </w:pPr>
      <w:hyperlink r:id="rId109">
        <w:r>
          <w:rPr>
            <w:rFonts w:ascii="Arial" w:cs="Arial" w:eastAsia="Arial" w:hAnsi="Arial"/>
            <w:sz w:val="18"/>
            <w:szCs w:val="18"/>
            <w:u w:val="single" w:color="auto"/>
            <w:color w:val="0000EE"/>
          </w:rPr>
          <w:t>10.18†</w:t>
        </w:r>
      </w:hyperlink>
      <w:r>
        <w:rPr>
          <w:rFonts w:ascii="Arial" w:cs="Arial" w:eastAsia="Arial" w:hAnsi="Arial"/>
          <w:sz w:val="18"/>
          <w:szCs w:val="18"/>
          <w:color w:val="0000EE"/>
        </w:rPr>
        <w:tab/>
        <w:t>Employment Agreement, dated April 16, 2014, by and between Ollie’s Bargain Outlet, Inc. and Robert Bertram (incorporated by reference to Exhibit 10.15 to the Form S-1 Registration Statement filed by the Company on June 15, 2015 (No. 333-204942)).</w:t>
      </w:r>
    </w:p>
    <w:p>
      <w:pPr>
        <w:spacing w:after="0" w:line="235" w:lineRule="exact"/>
        <w:rPr>
          <w:sz w:val="20"/>
          <w:szCs w:val="20"/>
          <w:color w:val="auto"/>
        </w:rPr>
      </w:pPr>
    </w:p>
    <w:p>
      <w:pPr>
        <w:ind w:left="1060" w:right="20" w:hanging="1066"/>
        <w:spacing w:after="0" w:line="264" w:lineRule="auto"/>
        <w:tabs>
          <w:tab w:leader="none" w:pos="1040" w:val="left"/>
        </w:tabs>
        <w:rPr>
          <w:rFonts w:ascii="Arial" w:cs="Arial" w:eastAsia="Arial" w:hAnsi="Arial"/>
          <w:sz w:val="18"/>
          <w:szCs w:val="18"/>
          <w:color w:val="0000EE"/>
        </w:rPr>
      </w:pPr>
      <w:hyperlink r:id="rId109">
        <w:r>
          <w:rPr>
            <w:rFonts w:ascii="Arial" w:cs="Arial" w:eastAsia="Arial" w:hAnsi="Arial"/>
            <w:sz w:val="18"/>
            <w:szCs w:val="18"/>
            <w:u w:val="single" w:color="auto"/>
            <w:color w:val="0000EE"/>
          </w:rPr>
          <w:t>10.19†</w:t>
        </w:r>
      </w:hyperlink>
      <w:r>
        <w:rPr>
          <w:rFonts w:ascii="Arial" w:cs="Arial" w:eastAsia="Arial" w:hAnsi="Arial"/>
          <w:sz w:val="18"/>
          <w:szCs w:val="18"/>
          <w:color w:val="0000EE"/>
        </w:rPr>
        <w:tab/>
        <w:t>Employment Agreement, dated November 18, 2015, by and between Ollie’s Bargain Outlet, Inc. and Jay Stasz (incorporated by reference to Exhibit 10.1 to the Quarterly Report filed on Form 10-Q by the Company on December 10, 2015 (No. 001-37501)).</w:t>
      </w:r>
    </w:p>
    <w:p>
      <w:pPr>
        <w:spacing w:after="0" w:line="235" w:lineRule="exact"/>
        <w:rPr>
          <w:sz w:val="20"/>
          <w:szCs w:val="20"/>
          <w:color w:val="auto"/>
        </w:rPr>
      </w:pPr>
    </w:p>
    <w:p>
      <w:pPr>
        <w:ind w:left="1060" w:right="520" w:hanging="1066"/>
        <w:spacing w:after="0" w:line="277" w:lineRule="auto"/>
        <w:tabs>
          <w:tab w:leader="none" w:pos="104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10.20†</w:t>
        </w:r>
      </w:hyperlink>
      <w:r>
        <w:rPr>
          <w:rFonts w:ascii="Arial" w:cs="Arial" w:eastAsia="Arial" w:hAnsi="Arial"/>
          <w:sz w:val="18"/>
          <w:szCs w:val="18"/>
          <w:color w:val="0000EE"/>
        </w:rPr>
        <w:tab/>
        <w:t>Bargain Holdings Inc. 2012 Equity Incentive Plan (incorporated by reference to Exhibit 10.16 to the Form S-1 Registration Statement filed by the Company on June 15, 2015 (No. 333-204942)).</w:t>
      </w:r>
    </w:p>
    <w:p>
      <w:pPr>
        <w:spacing w:after="0" w:line="224" w:lineRule="exact"/>
        <w:rPr>
          <w:sz w:val="20"/>
          <w:szCs w:val="20"/>
          <w:color w:val="auto"/>
        </w:rPr>
      </w:pPr>
    </w:p>
    <w:p>
      <w:pPr>
        <w:ind w:left="1060" w:right="80" w:hanging="1066"/>
        <w:spacing w:after="0" w:line="264" w:lineRule="auto"/>
        <w:tabs>
          <w:tab w:leader="none" w:pos="1040" w:val="left"/>
        </w:tabs>
        <w:rPr>
          <w:rFonts w:ascii="Arial" w:cs="Arial" w:eastAsia="Arial" w:hAnsi="Arial"/>
          <w:sz w:val="18"/>
          <w:szCs w:val="18"/>
          <w:color w:val="0000EE"/>
        </w:rPr>
      </w:pPr>
      <w:hyperlink r:id="rId111">
        <w:r>
          <w:rPr>
            <w:rFonts w:ascii="Arial" w:cs="Arial" w:eastAsia="Arial" w:hAnsi="Arial"/>
            <w:sz w:val="18"/>
            <w:szCs w:val="18"/>
            <w:u w:val="single" w:color="auto"/>
            <w:color w:val="0000EE"/>
          </w:rPr>
          <w:t>10.21†</w:t>
        </w:r>
      </w:hyperlink>
      <w:r>
        <w:rPr>
          <w:rFonts w:ascii="Arial" w:cs="Arial" w:eastAsia="Arial" w:hAnsi="Arial"/>
          <w:sz w:val="18"/>
          <w:szCs w:val="18"/>
          <w:color w:val="0000EE"/>
        </w:rPr>
        <w:tab/>
        <w:t>Form of Stock Option Agreement under Bargain Holdings, Inc. 2012 Equity Incentive Plan (incorporated by reference to Exhibit 10.17 to the Form S-1 Registration Statement filed by the Company on June 15, 2015 (No. 333-204942)).</w:t>
      </w:r>
    </w:p>
    <w:p>
      <w:pPr>
        <w:spacing w:after="0" w:line="235" w:lineRule="exact"/>
        <w:rPr>
          <w:sz w:val="20"/>
          <w:szCs w:val="20"/>
          <w:color w:val="auto"/>
        </w:rPr>
      </w:pPr>
    </w:p>
    <w:p>
      <w:pPr>
        <w:ind w:left="1060" w:right="40" w:hanging="1066"/>
        <w:spacing w:after="0" w:line="277" w:lineRule="auto"/>
        <w:tabs>
          <w:tab w:leader="none" w:pos="1040" w:val="left"/>
        </w:tabs>
        <w:rPr>
          <w:rFonts w:ascii="Arial" w:cs="Arial" w:eastAsia="Arial" w:hAnsi="Arial"/>
          <w:sz w:val="18"/>
          <w:szCs w:val="18"/>
          <w:color w:val="0000EE"/>
        </w:rPr>
      </w:pPr>
      <w:hyperlink r:id="rId112">
        <w:r>
          <w:rPr>
            <w:rFonts w:ascii="Arial" w:cs="Arial" w:eastAsia="Arial" w:hAnsi="Arial"/>
            <w:sz w:val="18"/>
            <w:szCs w:val="18"/>
            <w:u w:val="single" w:color="auto"/>
            <w:color w:val="0000EE"/>
          </w:rPr>
          <w:t>10.22†</w:t>
        </w:r>
      </w:hyperlink>
      <w:r>
        <w:rPr>
          <w:rFonts w:ascii="Arial" w:cs="Arial" w:eastAsia="Arial" w:hAnsi="Arial"/>
          <w:sz w:val="18"/>
          <w:szCs w:val="18"/>
          <w:color w:val="0000EE"/>
        </w:rPr>
        <w:tab/>
        <w:t>2015 Equity Incentive Plan (incorporated by reference to Exhibit 4.1 to the Form S-8 Registration Statement filed by the Company on July 15, 2015 (No. 333-204942)).</w:t>
      </w:r>
    </w:p>
    <w:p>
      <w:pPr>
        <w:spacing w:after="0" w:line="224" w:lineRule="exact"/>
        <w:rPr>
          <w:sz w:val="20"/>
          <w:szCs w:val="20"/>
          <w:color w:val="auto"/>
        </w:rPr>
      </w:pPr>
    </w:p>
    <w:p>
      <w:pPr>
        <w:ind w:left="1060" w:hanging="1066"/>
        <w:spacing w:after="0" w:line="342" w:lineRule="auto"/>
        <w:tabs>
          <w:tab w:leader="none" w:pos="104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10.23†</w:t>
        </w:r>
      </w:hyperlink>
      <w:r>
        <w:rPr>
          <w:rFonts w:ascii="Arial" w:cs="Arial" w:eastAsia="Arial" w:hAnsi="Arial"/>
          <w:sz w:val="18"/>
          <w:szCs w:val="18"/>
          <w:color w:val="0000EE"/>
        </w:rPr>
        <w:tab/>
      </w:r>
      <w:r>
        <w:rPr>
          <w:rFonts w:ascii="Arial" w:cs="Arial" w:eastAsia="Arial" w:hAnsi="Arial"/>
          <w:sz w:val="16"/>
          <w:szCs w:val="16"/>
          <w:color w:val="0000EE"/>
        </w:rPr>
        <w:t>Form of Stock Option Agreement under 2015 Equity Incentive Plan (incorporated by reference to Exhibit 10.23 to Amendment No. 2 to the Form S-1 Registration Statement filed by the Company on July 6, 2015 (No. 333- 204942)).</w:t>
      </w:r>
    </w:p>
    <w:p>
      <w:pPr>
        <w:spacing w:after="0" w:line="178" w:lineRule="exact"/>
        <w:rPr>
          <w:sz w:val="20"/>
          <w:szCs w:val="20"/>
          <w:color w:val="auto"/>
        </w:rPr>
      </w:pPr>
    </w:p>
    <w:p>
      <w:pPr>
        <w:jc w:val="both"/>
        <w:ind w:left="1060" w:right="120" w:hanging="1066"/>
        <w:spacing w:after="0" w:line="264" w:lineRule="auto"/>
        <w:tabs>
          <w:tab w:leader="none" w:pos="1040" w:val="left"/>
        </w:tabs>
        <w:rPr>
          <w:rFonts w:ascii="Arial" w:cs="Arial" w:eastAsia="Arial" w:hAnsi="Arial"/>
          <w:sz w:val="18"/>
          <w:szCs w:val="18"/>
          <w:color w:val="0000EE"/>
        </w:rPr>
      </w:pPr>
      <w:hyperlink r:id="rId114">
        <w:r>
          <w:rPr>
            <w:rFonts w:ascii="Arial" w:cs="Arial" w:eastAsia="Arial" w:hAnsi="Arial"/>
            <w:sz w:val="18"/>
            <w:szCs w:val="18"/>
            <w:u w:val="single" w:color="auto"/>
            <w:color w:val="0000EE"/>
          </w:rPr>
          <w:t>10.24†</w:t>
        </w:r>
      </w:hyperlink>
      <w:r>
        <w:rPr>
          <w:rFonts w:ascii="Arial" w:cs="Arial" w:eastAsia="Arial" w:hAnsi="Arial"/>
          <w:sz w:val="18"/>
          <w:szCs w:val="18"/>
          <w:color w:val="0000EE"/>
        </w:rPr>
        <w:tab/>
        <w:t>Amendment to Employment Agreement, dated July 15, 2015, by and between Ollie’s Bargain Outlet, Inc. and Mark Butler (incorporated by reference to Exhibit 10.23 to the Form S-1 Registration Statement filed by the Company on February 8, 2016 (No. 333-209420)).</w:t>
      </w:r>
    </w:p>
    <w:p>
      <w:pPr>
        <w:spacing w:after="0" w:line="235" w:lineRule="exact"/>
        <w:rPr>
          <w:sz w:val="20"/>
          <w:szCs w:val="20"/>
          <w:color w:val="auto"/>
        </w:rPr>
      </w:pPr>
    </w:p>
    <w:p>
      <w:pPr>
        <w:ind w:left="1060" w:right="160" w:hanging="1066"/>
        <w:spacing w:after="0" w:line="264" w:lineRule="auto"/>
        <w:tabs>
          <w:tab w:leader="none" w:pos="1040" w:val="left"/>
        </w:tabs>
        <w:rPr>
          <w:rFonts w:ascii="Arial" w:cs="Arial" w:eastAsia="Arial" w:hAnsi="Arial"/>
          <w:sz w:val="18"/>
          <w:szCs w:val="18"/>
          <w:color w:val="0000EE"/>
        </w:rPr>
      </w:pPr>
      <w:hyperlink r:id="rId115">
        <w:r>
          <w:rPr>
            <w:rFonts w:ascii="Arial" w:cs="Arial" w:eastAsia="Arial" w:hAnsi="Arial"/>
            <w:sz w:val="18"/>
            <w:szCs w:val="18"/>
            <w:u w:val="single" w:color="auto"/>
            <w:color w:val="0000EE"/>
          </w:rPr>
          <w:t>10.25†</w:t>
        </w:r>
      </w:hyperlink>
      <w:r>
        <w:rPr>
          <w:rFonts w:ascii="Arial" w:cs="Arial" w:eastAsia="Arial" w:hAnsi="Arial"/>
          <w:sz w:val="18"/>
          <w:szCs w:val="18"/>
          <w:color w:val="0000EE"/>
        </w:rPr>
        <w:tab/>
        <w:t>Amendment to Employment Agreement, dated July 15, 2015, by and between Ollie’s Bargain Outlet, Inc. and John W. Swygert, Jr (incorporated by reference to Exhibit 10.24 to the Form S-1 Registration Statement filed by the Company on February 8, 2016 (No. 333-209420)).</w:t>
      </w:r>
    </w:p>
    <w:p>
      <w:pPr>
        <w:spacing w:after="0" w:line="235" w:lineRule="exact"/>
        <w:rPr>
          <w:sz w:val="20"/>
          <w:szCs w:val="20"/>
          <w:color w:val="auto"/>
        </w:rPr>
      </w:pPr>
    </w:p>
    <w:p>
      <w:pPr>
        <w:jc w:val="both"/>
        <w:ind w:left="1060" w:right="100" w:hanging="1066"/>
        <w:spacing w:after="0" w:line="264" w:lineRule="auto"/>
        <w:tabs>
          <w:tab w:leader="none" w:pos="1040" w:val="left"/>
        </w:tabs>
        <w:rPr>
          <w:rFonts w:ascii="Arial" w:cs="Arial" w:eastAsia="Arial" w:hAnsi="Arial"/>
          <w:sz w:val="18"/>
          <w:szCs w:val="18"/>
          <w:color w:val="0000EE"/>
        </w:rPr>
      </w:pPr>
      <w:hyperlink r:id="rId116">
        <w:r>
          <w:rPr>
            <w:rFonts w:ascii="Arial" w:cs="Arial" w:eastAsia="Arial" w:hAnsi="Arial"/>
            <w:sz w:val="18"/>
            <w:szCs w:val="18"/>
            <w:u w:val="single" w:color="auto"/>
            <w:color w:val="0000EE"/>
          </w:rPr>
          <w:t>10.26†</w:t>
        </w:r>
      </w:hyperlink>
      <w:r>
        <w:rPr>
          <w:rFonts w:ascii="Arial" w:cs="Arial" w:eastAsia="Arial" w:hAnsi="Arial"/>
          <w:sz w:val="18"/>
          <w:szCs w:val="18"/>
          <w:color w:val="0000EE"/>
        </w:rPr>
        <w:tab/>
        <w:t>Amendment to Employment Agreement, dated July 15, 2015, by and between Ollie’s Bargain Outlet, Inc. and Omar Segura (incorporated by reference to Exhibit 10.25 to the Form S-1 Registration Statement filed by the Company on February 8, 2016 (No. 333-209420)).</w:t>
      </w:r>
    </w:p>
    <w:p>
      <w:pPr>
        <w:spacing w:after="0" w:line="235" w:lineRule="exact"/>
        <w:rPr>
          <w:sz w:val="20"/>
          <w:szCs w:val="20"/>
          <w:color w:val="auto"/>
        </w:rPr>
      </w:pPr>
    </w:p>
    <w:p>
      <w:pPr>
        <w:jc w:val="both"/>
        <w:ind w:left="1060" w:right="20" w:hanging="1066"/>
        <w:spacing w:after="0" w:line="264" w:lineRule="auto"/>
        <w:tabs>
          <w:tab w:leader="none" w:pos="1040" w:val="left"/>
        </w:tabs>
        <w:rPr>
          <w:rFonts w:ascii="Arial" w:cs="Arial" w:eastAsia="Arial" w:hAnsi="Arial"/>
          <w:sz w:val="18"/>
          <w:szCs w:val="18"/>
          <w:color w:val="0000EE"/>
        </w:rPr>
      </w:pPr>
      <w:hyperlink r:id="rId117">
        <w:r>
          <w:rPr>
            <w:rFonts w:ascii="Arial" w:cs="Arial" w:eastAsia="Arial" w:hAnsi="Arial"/>
            <w:sz w:val="18"/>
            <w:szCs w:val="18"/>
            <w:u w:val="single" w:color="auto"/>
            <w:color w:val="0000EE"/>
          </w:rPr>
          <w:t>10.27†</w:t>
        </w:r>
      </w:hyperlink>
      <w:r>
        <w:rPr>
          <w:rFonts w:ascii="Arial" w:cs="Arial" w:eastAsia="Arial" w:hAnsi="Arial"/>
          <w:sz w:val="18"/>
          <w:szCs w:val="18"/>
          <w:color w:val="0000EE"/>
        </w:rPr>
        <w:tab/>
        <w:t>Amendment to Employment Agreement, dated July 15, 2015, by and between Ollie’s Bargain Outlet, Inc. and Kevin McLain (incorporated by reference to Exhibit 10.26 to the Form S-1 Registration Statement filed by the Company on February 8, 2016 (No. 333-209420)).</w:t>
      </w:r>
    </w:p>
    <w:p>
      <w:pPr>
        <w:spacing w:after="0" w:line="235" w:lineRule="exact"/>
        <w:rPr>
          <w:sz w:val="20"/>
          <w:szCs w:val="20"/>
          <w:color w:val="auto"/>
        </w:rPr>
      </w:pPr>
    </w:p>
    <w:p>
      <w:pPr>
        <w:ind w:left="1060" w:right="220" w:hanging="1066"/>
        <w:spacing w:after="0" w:line="264" w:lineRule="auto"/>
        <w:tabs>
          <w:tab w:leader="none" w:pos="104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10.28†</w:t>
        </w:r>
      </w:hyperlink>
      <w:r>
        <w:rPr>
          <w:rFonts w:ascii="Arial" w:cs="Arial" w:eastAsia="Arial" w:hAnsi="Arial"/>
          <w:sz w:val="18"/>
          <w:szCs w:val="18"/>
          <w:color w:val="0000EE"/>
        </w:rPr>
        <w:tab/>
        <w:t>Amendment to Employment Agreement, dated July 15, 2015, by and between Ollie’s Bargain Outlet, Inc. and Howard Freedman (incorporated by reference to Exhibit 10.27 to the Form S-1 Registration Statement filed by the Company on February 8, 2016 (No. 333-209420)).</w:t>
      </w:r>
    </w:p>
    <w:p>
      <w:pPr>
        <w:spacing w:after="0" w:line="235" w:lineRule="exact"/>
        <w:rPr>
          <w:sz w:val="20"/>
          <w:szCs w:val="20"/>
          <w:color w:val="auto"/>
        </w:rPr>
      </w:pPr>
    </w:p>
    <w:p>
      <w:pPr>
        <w:ind w:left="1060" w:right="40" w:hanging="1066"/>
        <w:spacing w:after="0" w:line="264" w:lineRule="auto"/>
        <w:tabs>
          <w:tab w:leader="none" w:pos="104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10.29†</w:t>
        </w:r>
      </w:hyperlink>
      <w:r>
        <w:rPr>
          <w:rFonts w:ascii="Arial" w:cs="Arial" w:eastAsia="Arial" w:hAnsi="Arial"/>
          <w:sz w:val="18"/>
          <w:szCs w:val="18"/>
          <w:color w:val="0000EE"/>
        </w:rPr>
        <w:tab/>
        <w:t>Amendment to Employment Agreement, dated July 15, 2015, by and between Ollie’s Bargain Outlet, Inc. and Kenneth Robert Bertram (incorporated by reference to Exhibit 10.28 to the Form S-1 Registration Statement filed by the Company on February 8, 2016 (No. 333-209420)).</w:t>
      </w:r>
    </w:p>
    <w:p>
      <w:pPr>
        <w:spacing w:after="0" w:line="235" w:lineRule="exact"/>
        <w:rPr>
          <w:sz w:val="20"/>
          <w:szCs w:val="20"/>
          <w:color w:val="auto"/>
        </w:rPr>
      </w:pPr>
    </w:p>
    <w:p>
      <w:pPr>
        <w:jc w:val="both"/>
        <w:ind w:left="1060" w:hanging="1066"/>
        <w:spacing w:after="0" w:line="264" w:lineRule="auto"/>
        <w:tabs>
          <w:tab w:leader="none" w:pos="104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10.30†</w:t>
        </w:r>
      </w:hyperlink>
      <w:r>
        <w:rPr>
          <w:rFonts w:ascii="Arial" w:cs="Arial" w:eastAsia="Arial" w:hAnsi="Arial"/>
          <w:sz w:val="18"/>
          <w:szCs w:val="18"/>
          <w:color w:val="0000EE"/>
        </w:rPr>
        <w:tab/>
        <w:t>Amendment to Employment Agreement, dated January 5, 2018, by and between Ollie’s Bargain Outlet, Inc. and Jay Stasz (incorporated by reference to Exhibit 10.1 to the Current Report filed on Form 8-K by the Company on January 5, 2018 (No. 001-37501)).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78" w:name="page79"/>
    <w:bookmarkEnd w:id="7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866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900" w:type="dxa"/>
            <w:vAlign w:val="bottom"/>
            <w:gridSpan w:val="3"/>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8660" w:type="dxa"/>
            <w:vAlign w:val="bottom"/>
          </w:tcPr>
          <w:p>
            <w:pPr>
              <w:ind w:left="160"/>
              <w:spacing w:after="0" w:line="182" w:lineRule="exact"/>
              <w:rPr>
                <w:sz w:val="20"/>
                <w:szCs w:val="20"/>
                <w:color w:val="auto"/>
              </w:rPr>
            </w:pPr>
            <w:r>
              <w:rPr>
                <w:rFonts w:ascii="Arial" w:cs="Arial" w:eastAsia="Arial" w:hAnsi="Arial"/>
                <w:sz w:val="18"/>
                <w:szCs w:val="18"/>
                <w:color w:val="auto"/>
                <w:w w:val="90"/>
              </w:rPr>
              <w:t>Amendment to Employment Agreement, dated January 5, 2018, by and between Ollie’s Bargain Outlet, Inc. and John</w:t>
            </w:r>
          </w:p>
        </w:tc>
      </w:tr>
      <w:tr>
        <w:trPr>
          <w:trHeight w:val="222"/>
        </w:trPr>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3"/>
              </w:rPr>
              <w:t>W. Swygert, Jr. (incorporated by reference to Exhibit 10.2 to the Current Report filed on Form 8-K by the Company</w:t>
            </w: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on January 5, 2018 (No. 001-37501)).</w:t>
            </w:r>
          </w:p>
        </w:tc>
      </w:tr>
      <w:tr>
        <w:trPr>
          <w:trHeight w:val="44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21.</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List of subsidiaries</w:t>
            </w:r>
          </w:p>
        </w:tc>
      </w:tr>
      <w:tr>
        <w:trPr>
          <w:trHeight w:val="46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Consent of KPMG LLP</w:t>
            </w:r>
          </w:p>
        </w:tc>
      </w:tr>
      <w:tr>
        <w:trPr>
          <w:trHeight w:val="46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24.</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Power of Attorney (included on the signature pages herein).</w:t>
            </w:r>
          </w:p>
        </w:tc>
      </w:tr>
      <w:tr>
        <w:trPr>
          <w:trHeight w:val="46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4"/>
              </w:rPr>
              <w:t>Certification of Chief Executive Officer pursuant to Rule 13a-14(a) or 15d-14(a) of the Securities Exchange Act of</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1934, as amended, as adopted pursuant to Section 302 of the Sarbanes-Oxley Act of 2002.</w:t>
            </w:r>
          </w:p>
        </w:tc>
      </w:tr>
      <w:tr>
        <w:trPr>
          <w:trHeight w:val="44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5"/>
              </w:rPr>
              <w:t>Certification of Chief Financial Officer pursuant to Rule 13a-14(a) or 15d-14(a) of the Securities Exchange Act of</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1934, as amended, as adopted pursuant to Section 302 of the Sarbanes-Oxley Act of 2002.</w:t>
            </w:r>
          </w:p>
        </w:tc>
      </w:tr>
      <w:tr>
        <w:trPr>
          <w:trHeight w:val="44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the Sarbanes-Oxley Act of 2002.</w:t>
            </w:r>
          </w:p>
        </w:tc>
      </w:tr>
      <w:tr>
        <w:trPr>
          <w:trHeight w:val="446"/>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7"/>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6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6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6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6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6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9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6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909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9" w:lineRule="exact"/>
        <w:rPr>
          <w:sz w:val="20"/>
          <w:szCs w:val="20"/>
          <w:color w:val="auto"/>
        </w:rPr>
      </w:pPr>
    </w:p>
    <w:p>
      <w:pPr>
        <w:ind w:left="347" w:hanging="347"/>
        <w:spacing w:after="0"/>
        <w:tabs>
          <w:tab w:leader="none" w:pos="3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Previously filed.</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9" w:name="page80"/>
    <w:bookmarkEnd w:id="79"/>
    <w:p>
      <w:pPr>
        <w:ind w:left="862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OLLIE’S BARGAIN OUTLET HOLDINGS, INC.</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State or Other Jurisdiction of Formation</w:t>
            </w:r>
          </w:p>
        </w:tc>
        <w:tc>
          <w:tcPr>
            <w:tcW w:w="20" w:type="dxa"/>
            <w:vAlign w:val="bottom"/>
          </w:tcPr>
          <w:p>
            <w:pPr>
              <w:spacing w:after="0"/>
              <w:rPr>
                <w:sz w:val="14"/>
                <w:szCs w:val="14"/>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Bargain Parent, Inc.</w:t>
            </w:r>
          </w:p>
        </w:tc>
        <w:tc>
          <w:tcPr>
            <w:tcW w:w="1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Ollie’s Holdings, Inc.</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1"/>
                <w:szCs w:val="21"/>
                <w:color w:val="auto"/>
              </w:rPr>
            </w:pPr>
          </w:p>
        </w:tc>
      </w:tr>
      <w:tr>
        <w:trPr>
          <w:trHeight w:val="243"/>
        </w:trPr>
        <w:tc>
          <w:tcPr>
            <w:tcW w:w="4640" w:type="dxa"/>
            <w:vAlign w:val="bottom"/>
          </w:tcPr>
          <w:p>
            <w:pPr>
              <w:ind w:left="360"/>
              <w:spacing w:after="0"/>
              <w:rPr>
                <w:sz w:val="20"/>
                <w:szCs w:val="20"/>
                <w:color w:val="auto"/>
              </w:rPr>
            </w:pPr>
            <w:r>
              <w:rPr>
                <w:rFonts w:ascii="Arial" w:cs="Arial" w:eastAsia="Arial" w:hAnsi="Arial"/>
                <w:sz w:val="18"/>
                <w:szCs w:val="18"/>
                <w:color w:val="auto"/>
              </w:rPr>
              <w:t>Ollie’s Bargain Outlet, Inc.</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21"/>
                <w:szCs w:val="21"/>
                <w:color w:val="auto"/>
              </w:rPr>
            </w:pPr>
          </w:p>
        </w:tc>
      </w:tr>
      <w:tr>
        <w:trPr>
          <w:trHeight w:val="243"/>
        </w:trPr>
        <w:tc>
          <w:tcPr>
            <w:tcW w:w="4640" w:type="dxa"/>
            <w:vAlign w:val="bottom"/>
          </w:tcPr>
          <w:p>
            <w:pPr>
              <w:ind w:left="360"/>
              <w:spacing w:after="0"/>
              <w:rPr>
                <w:sz w:val="20"/>
                <w:szCs w:val="20"/>
                <w:color w:val="auto"/>
              </w:rPr>
            </w:pPr>
            <w:r>
              <w:rPr>
                <w:rFonts w:ascii="Arial" w:cs="Arial" w:eastAsia="Arial" w:hAnsi="Arial"/>
                <w:sz w:val="18"/>
                <w:szCs w:val="18"/>
                <w:color w:val="auto"/>
              </w:rPr>
              <w:t>OBO Ventures, Inc.</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21"/>
                <w:szCs w:val="21"/>
                <w:color w:val="auto"/>
              </w:rPr>
            </w:pPr>
          </w:p>
        </w:tc>
      </w:tr>
      <w:tr>
        <w:trPr>
          <w:trHeight w:val="459"/>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121" w:right="11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 (No. 333-205685) on Form S-8 and the registration statement (No. 333-213514) on Form S-3 of Ollie’s Bargain Outlet Holdings, Inc. of our reports dated March 29, 2019, with respect to the consolidated balance sheets of Ollie’s Bargain Outlet Holdings, Inc. and subsidiaries as of February 2, 2019 and February 3, 2018, and the related consolidated statements of income, stockholders’ equity, and cash flows for each of the fiscal years in the three-year period ended February 2, 2019, and the related notes and financial statement schedule (collectively, the consolidated financial statements), and the effectiveness of internal control over financial reporting as of February 2, 2019, which reports appear in the February 2, 2019 annual report on Form 10-K of Ollie’s Bargain Outlet Holdings, Inc. Our report on the consolidated financial statements refers to a change in the accounting for revenue.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Butler, certify that:</w:t>
      </w:r>
    </w:p>
    <w:p>
      <w:pPr>
        <w:spacing w:after="0" w:line="117" w:lineRule="exact"/>
        <w:rPr>
          <w:sz w:val="20"/>
          <w:szCs w:val="20"/>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Ollie’s Bargain Outlet Holdings, Inc.;</w:t>
      </w:r>
    </w:p>
    <w:p>
      <w:pPr>
        <w:spacing w:after="0" w:line="117"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60" w:right="20" w:hanging="351"/>
        <w:spacing w:after="0" w:line="259"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60" w:hanging="351"/>
        <w:spacing w:after="0" w:line="259"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60" w:hanging="351"/>
        <w:spacing w:after="0" w:line="264"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060" w:hanging="351"/>
        <w:spacing w:after="0" w:line="259"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1060" w:hanging="351"/>
        <w:spacing w:after="0" w:line="264"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060" w:hanging="351"/>
        <w:spacing w:after="0" w:line="277"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7"/>
          <w:szCs w:val="17"/>
          <w:color w:val="auto"/>
        </w:rPr>
        <w:t>/s/ Mark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14605</wp:posOffset>
            </wp:positionV>
            <wp:extent cx="275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Mark Butler</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President, Chief Executive Officer and Chairman of the</w:t>
      </w:r>
    </w:p>
    <w:p>
      <w:pPr>
        <w:spacing w:after="0" w:line="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Board</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Stasz, certify that:</w:t>
      </w:r>
    </w:p>
    <w:p>
      <w:pPr>
        <w:spacing w:after="0" w:line="117"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Ollie’s Bargain Outlet Holdings, Inc.;</w:t>
      </w:r>
    </w:p>
    <w:p>
      <w:pPr>
        <w:spacing w:after="0" w:line="117"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60" w:right="20" w:hanging="351"/>
        <w:spacing w:after="0" w:line="259"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60" w:hanging="351"/>
        <w:spacing w:after="0" w:line="259"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060" w:hanging="351"/>
        <w:spacing w:after="0" w:line="264"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060" w:hanging="351"/>
        <w:spacing w:after="0" w:line="259"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1060" w:hanging="351"/>
        <w:spacing w:after="0" w:line="264"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060" w:hanging="351"/>
        <w:spacing w:after="0" w:line="277" w:lineRule="auto"/>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5"/>
          <w:szCs w:val="15"/>
          <w:color w:val="auto"/>
        </w:rPr>
        <w:t>/s/ Jay Stasz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14605</wp:posOffset>
            </wp:positionV>
            <wp:extent cx="2752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Jay Stasz</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21" w:right="11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6"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8" w:lineRule="exact"/>
        <w:rPr>
          <w:sz w:val="20"/>
          <w:szCs w:val="20"/>
          <w:color w:val="auto"/>
        </w:rPr>
      </w:pPr>
    </w:p>
    <w:p>
      <w:pPr>
        <w:jc w:val="both"/>
        <w:ind w:left="7"/>
        <w:spacing w:after="0" w:line="259" w:lineRule="auto"/>
        <w:rPr>
          <w:sz w:val="20"/>
          <w:szCs w:val="20"/>
          <w:color w:val="auto"/>
        </w:rPr>
      </w:pPr>
      <w:r>
        <w:rPr>
          <w:rFonts w:ascii="Arial" w:cs="Arial" w:eastAsia="Arial" w:hAnsi="Arial"/>
          <w:sz w:val="18"/>
          <w:szCs w:val="18"/>
          <w:color w:val="auto"/>
        </w:rPr>
        <w:t>In connection with the annual report of Ollie’s Bargain Outlet Holdings, Inc. (the “Company”) on Form 10-K for the fiscal year ended February 2, 2019, as filed with the Securities and Exchange Commission on the date hereof (the “Report”), I, Mark Butler, Chief Executive Officer of the Company, certify, pursuant to 18 U.S.C. § 1350, adopted pursuant to §906 of the Sarbanes-Oxley Act of 2002, that:</w:t>
      </w:r>
    </w:p>
    <w:p>
      <w:pPr>
        <w:spacing w:after="0" w:line="79" w:lineRule="exact"/>
        <w:rPr>
          <w:sz w:val="20"/>
          <w:szCs w:val="20"/>
          <w:color w:val="auto"/>
        </w:rPr>
      </w:pPr>
    </w:p>
    <w:p>
      <w:pPr>
        <w:ind w:left="347" w:right="20" w:hanging="347"/>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7"/>
        <w:spacing w:after="0"/>
        <w:tabs>
          <w:tab w:leader="none" w:pos="586" w:val="left"/>
        </w:tabs>
        <w:rPr>
          <w:sz w:val="20"/>
          <w:szCs w:val="20"/>
          <w:color w:val="auto"/>
        </w:rPr>
      </w:pPr>
      <w:r>
        <w:rPr>
          <w:rFonts w:ascii="Arial" w:cs="Arial" w:eastAsia="Arial" w:hAnsi="Arial"/>
          <w:sz w:val="18"/>
          <w:szCs w:val="18"/>
          <w:color w:val="auto"/>
        </w:rPr>
        <w:t>Date:</w:t>
        <w:tab/>
        <w:t>March 29, 2019</w:t>
      </w:r>
    </w:p>
    <w:p>
      <w:pPr>
        <w:spacing w:after="0" w:line="279" w:lineRule="exact"/>
        <w:rPr>
          <w:sz w:val="20"/>
          <w:szCs w:val="20"/>
          <w:color w:val="auto"/>
        </w:rPr>
      </w:pPr>
    </w:p>
    <w:p>
      <w:pPr>
        <w:ind w:left="607"/>
        <w:spacing w:after="0"/>
        <w:rPr>
          <w:sz w:val="20"/>
          <w:szCs w:val="20"/>
          <w:color w:val="auto"/>
        </w:rPr>
      </w:pPr>
      <w:r>
        <w:rPr>
          <w:rFonts w:ascii="Arial" w:cs="Arial" w:eastAsia="Arial" w:hAnsi="Arial"/>
          <w:sz w:val="18"/>
          <w:szCs w:val="18"/>
          <w:color w:val="auto"/>
        </w:rPr>
        <w:t>/s/ Mark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14605</wp:posOffset>
            </wp:positionV>
            <wp:extent cx="268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607"/>
        <w:spacing w:after="0"/>
        <w:rPr>
          <w:sz w:val="20"/>
          <w:szCs w:val="20"/>
          <w:color w:val="auto"/>
        </w:rPr>
      </w:pPr>
      <w:r>
        <w:rPr>
          <w:rFonts w:ascii="Arial" w:cs="Arial" w:eastAsia="Arial" w:hAnsi="Arial"/>
          <w:sz w:val="18"/>
          <w:szCs w:val="18"/>
          <w:color w:val="auto"/>
        </w:rPr>
        <w:t>Mark Butler</w:t>
      </w:r>
    </w:p>
    <w:p>
      <w:pPr>
        <w:spacing w:after="0" w:line="36" w:lineRule="exact"/>
        <w:rPr>
          <w:sz w:val="20"/>
          <w:szCs w:val="20"/>
          <w:color w:val="auto"/>
        </w:rPr>
      </w:pPr>
    </w:p>
    <w:p>
      <w:pPr>
        <w:ind w:left="607"/>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21" w:right="11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6"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8"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color w:val="auto"/>
        </w:rPr>
        <w:t>In connection with the annual report of Ollie’s Bargain Outlet Holdings, Inc. (the “Company”) on Form 10-K for the fiscal year ended February 2, 2019, as filed with the Securities and Exchange Commission on the date hereof (the “Report”), I, Jay Stasz, Chief Financial Officer of the Company, certify, pursuant to 18 U.S.C. § 1350, adopted pursuant to §906 of the Sarbanes-Oxley Act of 2002, that:</w:t>
      </w:r>
    </w:p>
    <w:p>
      <w:pPr>
        <w:spacing w:after="0" w:line="79" w:lineRule="exact"/>
        <w:rPr>
          <w:sz w:val="20"/>
          <w:szCs w:val="20"/>
          <w:color w:val="auto"/>
        </w:rPr>
      </w:pPr>
    </w:p>
    <w:p>
      <w:pPr>
        <w:ind w:left="347" w:right="20" w:hanging="347"/>
        <w:spacing w:after="0" w:line="277" w:lineRule="auto"/>
        <w:tabs>
          <w:tab w:leader="none" w:pos="3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347" w:hanging="347"/>
        <w:spacing w:after="0" w:line="277" w:lineRule="auto"/>
        <w:tabs>
          <w:tab w:leader="none" w:pos="3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ind w:left="7"/>
        <w:spacing w:after="0"/>
        <w:tabs>
          <w:tab w:leader="none" w:pos="586" w:val="left"/>
        </w:tabs>
        <w:rPr>
          <w:sz w:val="20"/>
          <w:szCs w:val="20"/>
          <w:color w:val="auto"/>
        </w:rPr>
      </w:pPr>
      <w:r>
        <w:rPr>
          <w:rFonts w:ascii="Arial" w:cs="Arial" w:eastAsia="Arial" w:hAnsi="Arial"/>
          <w:sz w:val="18"/>
          <w:szCs w:val="18"/>
          <w:color w:val="auto"/>
        </w:rPr>
        <w:t>Date:</w:t>
        <w:tab/>
        <w:t>March 29, 2019</w:t>
      </w:r>
    </w:p>
    <w:p>
      <w:pPr>
        <w:spacing w:after="0" w:line="279" w:lineRule="exact"/>
        <w:rPr>
          <w:sz w:val="20"/>
          <w:szCs w:val="20"/>
          <w:color w:val="auto"/>
        </w:rPr>
      </w:pPr>
    </w:p>
    <w:p>
      <w:pPr>
        <w:ind w:left="607"/>
        <w:spacing w:after="0"/>
        <w:rPr>
          <w:sz w:val="20"/>
          <w:szCs w:val="20"/>
          <w:color w:val="auto"/>
        </w:rPr>
      </w:pPr>
      <w:r>
        <w:rPr>
          <w:rFonts w:ascii="Arial" w:cs="Arial" w:eastAsia="Arial" w:hAnsi="Arial"/>
          <w:sz w:val="18"/>
          <w:szCs w:val="18"/>
          <w:color w:val="auto"/>
        </w:rPr>
        <w:t>/s/ Jay Stasz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14605</wp:posOffset>
            </wp:positionV>
            <wp:extent cx="26841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607"/>
        <w:spacing w:after="0"/>
        <w:rPr>
          <w:sz w:val="20"/>
          <w:szCs w:val="20"/>
          <w:color w:val="auto"/>
        </w:rPr>
      </w:pPr>
      <w:r>
        <w:rPr>
          <w:rFonts w:ascii="Arial" w:cs="Arial" w:eastAsia="Arial" w:hAnsi="Arial"/>
          <w:sz w:val="18"/>
          <w:szCs w:val="18"/>
          <w:color w:val="auto"/>
        </w:rPr>
        <w:t>Jay Stasz</w:t>
      </w:r>
    </w:p>
    <w:p>
      <w:pPr>
        <w:spacing w:after="0" w:line="36" w:lineRule="exact"/>
        <w:rPr>
          <w:sz w:val="20"/>
          <w:szCs w:val="20"/>
          <w:color w:val="auto"/>
        </w:rPr>
      </w:pPr>
    </w:p>
    <w:p>
      <w:pPr>
        <w:ind w:left="607"/>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67"/>
      </w:cols>
      <w:pgMar w:left="1173" w:top="121"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5">
    <w:nsid w:val="5E884ADC"/>
    <w:multiLevelType w:val="hybridMultilevel"/>
    <w:lvl w:ilvl="0">
      <w:lvlJc w:val="left"/>
      <w:lvlText w:val="(%1)"/>
      <w:numFmt w:val="lowerLetter"/>
      <w:start w:val="6"/>
    </w:lvl>
  </w:abstractNum>
  <w:abstractNum w:abstractNumId="26">
    <w:nsid w:val="51EAD36B"/>
    <w:multiLevelType w:val="hybridMultilevel"/>
    <w:lvl w:ilvl="0">
      <w:lvlJc w:val="left"/>
      <w:lvlText w:val="(%1)"/>
      <w:numFmt w:val="lowerLetter"/>
      <w:start w:val="10"/>
    </w:lvl>
  </w:abstractNum>
  <w:abstractNum w:abstractNumId="27">
    <w:nsid w:val="2D517796"/>
    <w:multiLevelType w:val="hybridMultilevel"/>
    <w:lvl w:ilvl="0">
      <w:lvlJc w:val="left"/>
      <w:lvlText w:val="(%1)"/>
      <w:numFmt w:val="lowerLetter"/>
      <w:start w:val="11"/>
    </w:lvl>
  </w:abstractNum>
  <w:abstractNum w:abstractNumId="28">
    <w:nsid w:val="580BD78F"/>
    <w:multiLevelType w:val="hybridMultilevel"/>
    <w:lvl w:ilvl="0">
      <w:lvlJc w:val="left"/>
      <w:lvlText w:val="(%1)"/>
      <w:numFmt w:val="lowerLetter"/>
      <w:start w:val="13"/>
    </w:lvl>
  </w:abstractNum>
  <w:abstractNum w:abstractNumId="29">
    <w:nsid w:val="153EA438"/>
    <w:multiLevelType w:val="hybridMultilevel"/>
    <w:lvl w:ilvl="0">
      <w:lvlJc w:val="left"/>
      <w:lvlText w:val="(%1)"/>
      <w:numFmt w:val="lowerLetter"/>
      <w:start w:val="20"/>
    </w:lvl>
  </w:abstractNum>
  <w:abstractNum w:abstractNumId="30">
    <w:nsid w:val="3855585C"/>
    <w:multiLevelType w:val="hybridMultilevel"/>
    <w:lvl w:ilvl="0">
      <w:lvlJc w:val="left"/>
      <w:lvlText w:val="%1"/>
      <w:numFmt w:val="decimal"/>
      <w:start w:val="1"/>
    </w:lvl>
    <w:lvl w:ilvl="1">
      <w:lvlJc w:val="left"/>
      <w:lvlText w:val="(%2)"/>
      <w:numFmt w:val="lowerRoman"/>
      <w:start w:val="5"/>
    </w:lvl>
  </w:abstractNum>
  <w:abstractNum w:abstractNumId="31">
    <w:nsid w:val="70A64E2A"/>
    <w:multiLevelType w:val="hybridMultilevel"/>
    <w:lvl w:ilvl="0">
      <w:lvlJc w:val="left"/>
      <w:lvlText w:val="(%1)"/>
      <w:numFmt w:val="decimal"/>
      <w:start w:val="2"/>
    </w:lvl>
    <w:lvl w:ilvl="1">
      <w:lvlJc w:val="left"/>
      <w:lvlText w:val="%2"/>
      <w:numFmt w:val="lowerRoman"/>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4"/>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decimal"/>
      <w:start w:val="6"/>
    </w:lvl>
  </w:abstractNum>
  <w:abstractNum w:abstractNumId="39">
    <w:nsid w:val="4B588F54"/>
    <w:multiLevelType w:val="hybridMultilevel"/>
    <w:lvl w:ilvl="0">
      <w:lvlJc w:val="left"/>
      <w:lvlText w:val="(%1)"/>
      <w:numFmt w:val="decimal"/>
      <w:start w:val="7"/>
    </w:lvl>
  </w:abstractNum>
  <w:abstractNum w:abstractNumId="40">
    <w:nsid w:val="542289EC"/>
    <w:multiLevelType w:val="hybridMultilevel"/>
    <w:lvl w:ilvl="0">
      <w:lvlJc w:val="left"/>
      <w:lvlText w:val="(%1)"/>
      <w:numFmt w:val="decimal"/>
      <w:start w:val="8"/>
    </w:lvl>
  </w:abstractNum>
  <w:abstractNum w:abstractNumId="41">
    <w:nsid w:val="6DE91B18"/>
    <w:multiLevelType w:val="hybridMultilevel"/>
    <w:lvl w:ilvl="0">
      <w:lvlJc w:val="left"/>
      <w:lvlText w:val="(%1)"/>
      <w:numFmt w:val="decimal"/>
      <w:start w:val="9"/>
    </w:lvl>
  </w:abstractNum>
  <w:abstractNum w:abstractNumId="42">
    <w:nsid w:val="38437FDB"/>
    <w:multiLevelType w:val="hybridMultilevel"/>
    <w:lvl w:ilvl="0">
      <w:lvlJc w:val="left"/>
      <w:lvlText w:val="(%1)"/>
      <w:numFmt w:val="decimal"/>
      <w:start w:val="10"/>
    </w:lvl>
  </w:abstractNum>
  <w:abstractNum w:abstractNumId="43">
    <w:nsid w:val="7644A45C"/>
    <w:multiLevelType w:val="hybridMultilevel"/>
    <w:lvl w:ilvl="0">
      <w:lvlJc w:val="left"/>
      <w:lvlText w:val="(%1)"/>
      <w:numFmt w:val="decimal"/>
      <w:start w:val="12"/>
    </w:lvl>
  </w:abstractNum>
  <w:abstractNum w:abstractNumId="44">
    <w:nsid w:val="32FFF902"/>
    <w:multiLevelType w:val="hybridMultilevel"/>
    <w:lvl w:ilvl="0">
      <w:lvlJc w:val="left"/>
      <w:lvlText w:val="(%1)"/>
      <w:numFmt w:val="decimal"/>
      <w:start w:val="15"/>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6" Type="http://schemas.openxmlformats.org/officeDocument/2006/relationships/image" Target="media/image79.png"/><Relationship Id="rId107" Type="http://schemas.openxmlformats.org/officeDocument/2006/relationships/image" Target="media/image80.png"/><Relationship Id="rId120"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86" Type="http://schemas.openxmlformats.org/officeDocument/2006/relationships/hyperlink" Target="http://www.sec.gov/Archives/edgar/data/1639300/000119312515258531/d48571dex31.htm" TargetMode="External"/><Relationship Id="rId87" Type="http://schemas.openxmlformats.org/officeDocument/2006/relationships/hyperlink" Target="http://www.sec.gov/Archives/edgar/data/1639300/000119312515258531/d48571dex32.htm" TargetMode="External"/><Relationship Id="rId88" Type="http://schemas.openxmlformats.org/officeDocument/2006/relationships/hyperlink" Target="http://www.sec.gov/Archives/edgar/data/1639300/000119312515248066/d897634dex41.htm" TargetMode="External"/><Relationship Id="rId89" Type="http://schemas.openxmlformats.org/officeDocument/2006/relationships/hyperlink" Target="http://www.sec.gov/Archives/edgar/data/1639300/000119312515258531/d48571dex41.htm" TargetMode="External"/><Relationship Id="rId90" Type="http://schemas.openxmlformats.org/officeDocument/2006/relationships/hyperlink" Target="http://www.sec.gov/Archives/edgar/data/1639300/000119312515222932/d897634dex101.htm" TargetMode="External"/><Relationship Id="rId91" Type="http://schemas.openxmlformats.org/officeDocument/2006/relationships/hyperlink" Target="http://www.sec.gov/Archives/edgar/data/1639300/000119312515222932/d897634dex102.htm" TargetMode="External"/><Relationship Id="rId92" Type="http://schemas.openxmlformats.org/officeDocument/2006/relationships/hyperlink" Target="http://www.sec.gov/Archives/edgar/data/1639300/000119312515222932/d897634dex103.htm" TargetMode="External"/><Relationship Id="rId93" Type="http://schemas.openxmlformats.org/officeDocument/2006/relationships/hyperlink" Target="http://www.sec.gov/Archives/edgar/data/1639300/000119312515222932/d897634dex104.htm" TargetMode="External"/><Relationship Id="rId94" Type="http://schemas.openxmlformats.org/officeDocument/2006/relationships/hyperlink" Target="http://www.sec.gov/Archives/edgar/data/1639300/000119312515222932/d897634dex105.htm" TargetMode="External"/><Relationship Id="rId95" Type="http://schemas.openxmlformats.org/officeDocument/2006/relationships/hyperlink" Target="http://www.sec.gov/Archives/edgar/data/1639300/000119312515222932/d897634dex106.htm" TargetMode="External"/><Relationship Id="rId97" Type="http://schemas.openxmlformats.org/officeDocument/2006/relationships/hyperlink" Target="http://www.sec.gov/Archives/edgar/data/1639300/000119312515222932/d897634dex107.htm" TargetMode="External"/><Relationship Id="rId98" Type="http://schemas.openxmlformats.org/officeDocument/2006/relationships/hyperlink" Target="http://www.sec.gov/Archives/edgar/data/1639300/000119312515222932/d897634dex108.htm" TargetMode="External"/><Relationship Id="rId99" Type="http://schemas.openxmlformats.org/officeDocument/2006/relationships/hyperlink" Target="http://www.sec.gov/Archives/edgar/data/1639300/000119312516447718/d104245dex101.htm" TargetMode="External"/><Relationship Id="rId100" Type="http://schemas.openxmlformats.org/officeDocument/2006/relationships/hyperlink" Target="http://www.sec.gov/Archives/edgar/data/1639300/000119312516447718/d104245dex102.htm" TargetMode="External"/><Relationship Id="rId101" Type="http://schemas.openxmlformats.org/officeDocument/2006/relationships/hyperlink" Target="http://www.sec.gov/Archives/edgar/data/1639300/000119312515248066/d897634dex1091.htm" TargetMode="External"/><Relationship Id="rId102" Type="http://schemas.openxmlformats.org/officeDocument/2006/relationships/hyperlink" Target="http://www.sec.gov/Archives/edgar/data/1639300/000119312515248066/d897634dex1092.htm" TargetMode="External"/><Relationship Id="rId103" Type="http://schemas.openxmlformats.org/officeDocument/2006/relationships/hyperlink" Target="http://www.sec.gov/Archives/edgar/data/1639300/000119312515222932/d897634dex1010.htm" TargetMode="External"/><Relationship Id="rId104" Type="http://schemas.openxmlformats.org/officeDocument/2006/relationships/hyperlink" Target="http://www.sec.gov/Archives/edgar/data/1639300/000119312515222932/d897634dex1011.htm" TargetMode="External"/><Relationship Id="rId105" Type="http://schemas.openxmlformats.org/officeDocument/2006/relationships/hyperlink" Target="http://www.sec.gov/Archives/edgar/data/1639300/000119312515222932/d897634dex1012.htm" TargetMode="External"/><Relationship Id="rId106" Type="http://schemas.openxmlformats.org/officeDocument/2006/relationships/hyperlink" Target="http://www.sec.gov/Archives/edgar/data/1639300/000119312515222932/d897634dex1013.htm" TargetMode="External"/><Relationship Id="rId108" Type="http://schemas.openxmlformats.org/officeDocument/2006/relationships/hyperlink" Target="http://www.sec.gov/Archives/edgar/data/1639300/000119312515222932/d897634dex1014.htm" TargetMode="External"/><Relationship Id="rId109" Type="http://schemas.openxmlformats.org/officeDocument/2006/relationships/hyperlink" Target="http://www.sec.gov/Archives/edgar/data/1639300/000119312515222932/d897634dex1015.htm" TargetMode="External"/><Relationship Id="rId110" Type="http://schemas.openxmlformats.org/officeDocument/2006/relationships/hyperlink" Target="http://www.sec.gov/Archives/edgar/data/1639300/000119312515222932/d897634dex1016.htm" TargetMode="External"/><Relationship Id="rId111" Type="http://schemas.openxmlformats.org/officeDocument/2006/relationships/hyperlink" Target="http://www.sec.gov/Archives/edgar/data/1639300/000119312515222932/d897634dex1017.htm" TargetMode="External"/><Relationship Id="rId112" Type="http://schemas.openxmlformats.org/officeDocument/2006/relationships/hyperlink" Target="http://www.sec.gov/Archives/edgar/data/1639300/000119312515253746/d13303dex41.htm" TargetMode="External"/><Relationship Id="rId113" Type="http://schemas.openxmlformats.org/officeDocument/2006/relationships/hyperlink" Target="http://www.sec.gov/Archives/edgar/data/1639300/000119312515244738/d897634dex1023.htm" TargetMode="External"/><Relationship Id="rId114" Type="http://schemas.openxmlformats.org/officeDocument/2006/relationships/hyperlink" Target="http://www.sec.gov/Archives/edgar/data/1639300/000119312516452595/d126115dex1023.htm" TargetMode="External"/><Relationship Id="rId115" Type="http://schemas.openxmlformats.org/officeDocument/2006/relationships/hyperlink" Target="http://www.sec.gov/Archives/edgar/data/1639300/000119312516452595/d126115dex1024.htm" TargetMode="External"/><Relationship Id="rId116" Type="http://schemas.openxmlformats.org/officeDocument/2006/relationships/hyperlink" Target="http://www.sec.gov/Archives/edgar/data/1639300/000119312516452595/d126115dex1025.htm" TargetMode="External"/><Relationship Id="rId117" Type="http://schemas.openxmlformats.org/officeDocument/2006/relationships/hyperlink" Target="http://www.sec.gov/Archives/edgar/data/1639300/000119312516452595/d126115dex1026.htm" TargetMode="External"/><Relationship Id="rId118" Type="http://schemas.openxmlformats.org/officeDocument/2006/relationships/hyperlink" Target="http://www.sec.gov/Archives/edgar/data/1639300/000119312516452595/d126115dex1027.htm" TargetMode="External"/><Relationship Id="rId119" Type="http://schemas.openxmlformats.org/officeDocument/2006/relationships/hyperlink" Target="http://www.sec.gov/Archives/edgar/data/1639300/000119312516452595/d126115dex1028.htm" TargetMode="External"/><Relationship Id="rId121" Type="http://schemas.openxmlformats.org/officeDocument/2006/relationships/hyperlink" Target="http://www.sec.gov/Archives/edgar/data/1639300/000114036118000963/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2019-12-28T14:05:30Z</dcterms:created>
  <dcterms:modified xsi:type="dcterms:W3CDTF">2019-12-28T14:05:30Z</dcterms:modified>
</cp:coreProperties>
</file>