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w:t>
      </w:r>
    </w:p>
    <w:p>
      <w:pPr>
        <w:pStyle w:val="TextBody"/>
        <w:bidi w:val="0"/>
        <w:spacing w:before="0" w:after="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WASHINGTON, DC 20549</w:t>
      </w:r>
    </w:p>
    <w:p>
      <w:pPr>
        <w:pStyle w:val="TextBody"/>
        <w:bidi w:val="0"/>
        <w:spacing w:before="0" w:after="0"/>
        <w:jc w:val="center"/>
        <w:rPr>
          <w:rFonts w:ascii="Times New Roman;Times;serif" w:hAnsi="Times New Roman;Times;serif"/>
          <w:b/>
          <w:sz w:val="24"/>
        </w:rPr>
      </w:pPr>
      <w:r>
        <w:rPr>
          <w:rFonts w:ascii="Times New Roman;Times;serif" w:hAnsi="Times New Roman;Times;serif"/>
          <w:b/>
          <w:sz w:val="24"/>
        </w:rPr>
      </w:r>
    </w:p>
    <w:p>
      <w:pPr>
        <w:pStyle w:val="HorizontalLine"/>
        <w:bidi w:val="0"/>
        <w:spacing w:before="40" w:after="283"/>
        <w:jc w:val="center"/>
        <w:rPr/>
      </w:pPr>
      <w:r>
        <w:rPr/>
      </w:r>
    </w:p>
    <w:p>
      <w:pPr>
        <w:pStyle w:val="TextBody"/>
        <w:bidi w:val="0"/>
        <w:spacing w:before="40" w:after="283"/>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Form 10-K</w:t>
      </w:r>
    </w:p>
    <w:p>
      <w:pPr>
        <w:pStyle w:val="HorizontalLine"/>
        <w:bidi w:val="0"/>
        <w:spacing w:before="40" w:after="283"/>
        <w:jc w:val="center"/>
        <w:rPr/>
      </w:pPr>
      <w:r>
        <w:rPr/>
      </w:r>
    </w:p>
    <w:p>
      <w:pPr>
        <w:pStyle w:val="TextBody"/>
        <w:bidi w:val="0"/>
        <w:spacing w:before="40" w:after="283"/>
        <w:jc w:val="left"/>
        <w:rPr/>
      </w:pPr>
      <w:r>
        <w:rPr/>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For the fiscal year ended February 3, 2024</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OR</w:t>
      </w:r>
    </w:p>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40" w:after="283"/>
        <w:jc w:val="center"/>
        <w:rPr>
          <w:rFonts w:ascii="Times New Roman;Times;serif" w:hAnsi="Times New Roman;Times;serif"/>
          <w:b/>
          <w:sz w:val="20"/>
        </w:rPr>
      </w:pPr>
      <w:r>
        <w:rPr>
          <w:rFonts w:ascii="Times New Roman;Times;serif" w:hAnsi="Times New Roman;Times;serif"/>
          <w:b/>
          <w:sz w:val="20"/>
        </w:rPr>
      </w:r>
    </w:p>
    <w:p>
      <w:pPr>
        <w:pStyle w:val="TextBody"/>
        <w:bidi w:val="0"/>
        <w:spacing w:before="4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For the transition period from __________ to __________</w:t>
      </w:r>
    </w:p>
    <w:p>
      <w:pPr>
        <w:pStyle w:val="TextBody"/>
        <w:bidi w:val="0"/>
        <w:spacing w:before="40" w:after="283"/>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Commission file number: 001-37501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48"/>
          <w:shd w:fill="FFFFFF" w:val="clear"/>
        </w:rPr>
      </w:pPr>
      <w:r>
        <w:rPr>
          <w:rFonts w:ascii="Times New Roman;Times;serif" w:hAnsi="Times New Roman;Times;serif"/>
          <w:b/>
          <w:color w:val="000000"/>
          <w:sz w:val="48"/>
          <w:shd w:fill="FFFFFF" w:val="clear"/>
        </w:rPr>
        <w:t>Ollie’s Bargain Outlet Holdings, Inc.</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(Exact name of registrant as specified in its charter)</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r>
    </w:p>
    <w:p>
      <w:pPr>
        <w:pStyle w:val="HorizontalLine"/>
        <w:bidi w:val="0"/>
        <w:jc w:val="center"/>
        <w:rPr/>
      </w:pPr>
      <w:r>
        <w:rPr/>
      </w:r>
    </w:p>
    <w:p>
      <w:pPr>
        <w:pStyle w:val="TextBody"/>
        <w:bidi w:val="0"/>
        <w:spacing w:before="0" w:after="0"/>
        <w:jc w:val="left"/>
        <w:rPr/>
      </w:pPr>
      <w:r>
        <w:rPr/>
      </w:r>
    </w:p>
    <w:tbl>
      <w:tblPr>
        <w:tblW w:w="8095" w:type="dxa"/>
        <w:jc w:val="left"/>
        <w:tblInd w:w="0" w:type="dxa"/>
        <w:tblLayout w:type="fixed"/>
        <w:tblCellMar>
          <w:top w:w="0" w:type="dxa"/>
          <w:left w:w="0" w:type="dxa"/>
          <w:bottom w:w="28" w:type="dxa"/>
          <w:right w:w="0" w:type="dxa"/>
        </w:tblCellMar>
      </w:tblPr>
      <w:tblGrid>
        <w:gridCol w:w="5150"/>
        <w:gridCol w:w="60"/>
        <w:gridCol w:w="2885"/>
      </w:tblGrid>
      <w:tr>
        <w:trPr/>
        <w:tc>
          <w:tcPr>
            <w:tcW w:w="51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88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80-0848819</w:t>
            </w:r>
          </w:p>
        </w:tc>
      </w:tr>
      <w:tr>
        <w:trPr/>
        <w:tc>
          <w:tcPr>
            <w:tcW w:w="5150" w:type="dxa"/>
            <w:tcBorders/>
            <w:tcMar>
              <w:bottom w:w="0"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885" w:type="dxa"/>
            <w:tcBorders/>
            <w:tcMar>
              <w:bottom w:w="0"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(IRS Employer Identification No.)</w:t>
            </w:r>
          </w:p>
        </w:tc>
      </w:tr>
      <w:tr>
        <w:trPr/>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5" w:type="dxa"/>
            <w:tcBorders/>
            <w:tcMar>
              <w:bottom w:w="0" w:type="dxa"/>
            </w:tcMar>
            <w:vAlign w:val="center"/>
          </w:tcPr>
          <w:p>
            <w:pPr>
              <w:pStyle w:val="TableContents"/>
              <w:bidi w:val="0"/>
              <w:spacing w:before="0" w:after="283"/>
              <w:jc w:val="left"/>
              <w:rPr/>
            </w:pPr>
            <w:r>
              <w:rPr/>
              <w:t> </w:t>
            </w:r>
          </w:p>
        </w:tc>
      </w:tr>
      <w:tr>
        <w:trPr/>
        <w:tc>
          <w:tcPr>
            <w:tcW w:w="51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6295 Allentown Boulevard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Suite 1</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Harrisburg, Pennsylvania</w:t>
            </w:r>
          </w:p>
        </w:tc>
        <w:tc>
          <w:tcPr>
            <w:tcW w:w="60" w:type="dxa"/>
            <w:tcBorders/>
            <w:tcMar>
              <w:bottom w:w="0" w:type="dxa"/>
            </w:tcMar>
            <w:vAlign w:val="center"/>
          </w:tcPr>
          <w:p>
            <w:pPr>
              <w:pStyle w:val="TableContents"/>
              <w:bidi w:val="0"/>
              <w:spacing w:before="0" w:after="283"/>
              <w:jc w:val="left"/>
              <w:rPr/>
            </w:pPr>
            <w:r>
              <w:rPr/>
              <w:t> </w:t>
            </w:r>
          </w:p>
        </w:tc>
        <w:tc>
          <w:tcPr>
            <w:tcW w:w="288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17112</w:t>
            </w:r>
          </w:p>
        </w:tc>
      </w:tr>
      <w:tr>
        <w:trPr/>
        <w:tc>
          <w:tcPr>
            <w:tcW w:w="5150" w:type="dxa"/>
            <w:tcBorders/>
            <w:tcMar>
              <w:bottom w:w="0"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2885" w:type="dxa"/>
            <w:tcBorders/>
            <w:tcMar>
              <w:bottom w:w="0"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40" w:after="283"/>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(717) 657-2300</w:t>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(Registrant’s telephone number, including area code) </w:t>
      </w:r>
    </w:p>
    <w:p>
      <w:pPr>
        <w:pStyle w:val="HorizontalLine"/>
        <w:bidi w:val="0"/>
        <w:jc w:val="center"/>
        <w:rPr/>
      </w:pPr>
      <w:r>
        <w:rPr/>
      </w:r>
    </w:p>
    <w:p>
      <w:pPr>
        <w:pStyle w:val="TextBody"/>
        <w:bidi w:val="0"/>
        <w:spacing w:before="40" w:after="283"/>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Securities registered pursuant to Section 12(b) of the Act:</w:t>
      </w:r>
    </w:p>
    <w:p>
      <w:pPr>
        <w:pStyle w:val="TextBody"/>
        <w:bidi w:val="0"/>
        <w:spacing w:before="0" w:after="0"/>
        <w:jc w:val="left"/>
        <w:rPr/>
      </w:pPr>
      <w:r>
        <w:rPr/>
      </w:r>
    </w:p>
    <w:tbl>
      <w:tblPr>
        <w:tblW w:w="7726" w:type="dxa"/>
        <w:jc w:val="left"/>
        <w:tblInd w:w="0" w:type="dxa"/>
        <w:tblLayout w:type="fixed"/>
        <w:tblCellMar>
          <w:top w:w="0" w:type="dxa"/>
          <w:left w:w="0" w:type="dxa"/>
          <w:bottom w:w="28" w:type="dxa"/>
          <w:right w:w="0" w:type="dxa"/>
        </w:tblCellMar>
      </w:tblPr>
      <w:tblGrid>
        <w:gridCol w:w="2750"/>
        <w:gridCol w:w="23"/>
        <w:gridCol w:w="1340"/>
        <w:gridCol w:w="23"/>
        <w:gridCol w:w="3590"/>
      </w:tblGrid>
      <w:tr>
        <w:trPr/>
        <w:tc>
          <w:tcPr>
            <w:tcW w:w="275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Title of Each Class</w:t>
            </w:r>
          </w:p>
        </w:tc>
        <w:tc>
          <w:tcPr>
            <w:tcW w:w="23" w:type="dxa"/>
            <w:tcBorders/>
            <w:tcMar>
              <w:bottom w:w="0" w:type="dxa"/>
            </w:tcMar>
            <w:vAlign w:val="center"/>
          </w:tcPr>
          <w:p>
            <w:pPr>
              <w:pStyle w:val="TableContents"/>
              <w:bidi w:val="0"/>
              <w:spacing w:before="0" w:after="283"/>
              <w:jc w:val="left"/>
              <w:rPr/>
            </w:pPr>
            <w:r>
              <w:rPr/>
            </w:r>
          </w:p>
        </w:tc>
        <w:tc>
          <w:tcPr>
            <w:tcW w:w="134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Trading Symbol</w:t>
            </w:r>
          </w:p>
        </w:tc>
        <w:tc>
          <w:tcPr>
            <w:tcW w:w="23" w:type="dxa"/>
            <w:tcBorders/>
            <w:tcMar>
              <w:bottom w:w="0" w:type="dxa"/>
            </w:tcMar>
            <w:vAlign w:val="center"/>
          </w:tcPr>
          <w:p>
            <w:pPr>
              <w:pStyle w:val="TableContents"/>
              <w:bidi w:val="0"/>
              <w:spacing w:before="0" w:after="283"/>
              <w:jc w:val="left"/>
              <w:rPr/>
            </w:pPr>
            <w:r>
              <w:rPr/>
            </w:r>
          </w:p>
        </w:tc>
        <w:tc>
          <w:tcPr>
            <w:tcW w:w="359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75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Common Stock, $0.001 par value</w:t>
            </w:r>
          </w:p>
        </w:tc>
        <w:tc>
          <w:tcPr>
            <w:tcW w:w="23" w:type="dxa"/>
            <w:tcBorders/>
            <w:tcMar>
              <w:bottom w:w="0" w:type="dxa"/>
            </w:tcMar>
            <w:vAlign w:val="center"/>
          </w:tcPr>
          <w:p>
            <w:pPr>
              <w:pStyle w:val="TableContents"/>
              <w:bidi w:val="0"/>
              <w:spacing w:before="0" w:after="283"/>
              <w:jc w:val="left"/>
              <w:rPr/>
            </w:pPr>
            <w:r>
              <w:rPr/>
            </w:r>
          </w:p>
        </w:tc>
        <w:tc>
          <w:tcPr>
            <w:tcW w:w="134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OLLI</w:t>
            </w:r>
          </w:p>
        </w:tc>
        <w:tc>
          <w:tcPr>
            <w:tcW w:w="23" w:type="dxa"/>
            <w:tcBorders/>
            <w:tcMar>
              <w:bottom w:w="0" w:type="dxa"/>
            </w:tcMar>
            <w:vAlign w:val="center"/>
          </w:tcPr>
          <w:p>
            <w:pPr>
              <w:pStyle w:val="TableContents"/>
              <w:bidi w:val="0"/>
              <w:spacing w:before="0" w:after="283"/>
              <w:jc w:val="left"/>
              <w:rPr/>
            </w:pPr>
            <w:r>
              <w:rPr/>
            </w:r>
          </w:p>
        </w:tc>
        <w:tc>
          <w:tcPr>
            <w:tcW w:w="359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Securities registered pursuant to Section 12(g) of the Act:  </w:t>
      </w:r>
      <w:r>
        <w:rPr>
          <w:rFonts w:ascii="Times New Roman;Times;serif" w:hAnsi="Times New Roman;Times;serif"/>
          <w:b/>
          <w:color w:val="000000"/>
          <w:sz w:val="20"/>
          <w:shd w:fill="FFFFFF" w:val="clear"/>
        </w:rPr>
        <w:t>None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if the registrant is a well-known seasoned issuer, as defined in Rule 405 of the Securities Act.</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Yes ☒   No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if the registrant is not required to file reports pursuant to Section 13 or Section 15(d) of the Act.</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Yes ☐   No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02"/>
        <w:gridCol w:w="1549"/>
        <w:gridCol w:w="1909"/>
        <w:gridCol w:w="2363"/>
        <w:gridCol w:w="2382"/>
      </w:tblGrid>
      <w:tr>
        <w:trPr/>
        <w:tc>
          <w:tcPr>
            <w:tcW w:w="2002"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Large accelerated filer ☒</w:t>
            </w:r>
          </w:p>
        </w:tc>
        <w:tc>
          <w:tcPr>
            <w:tcW w:w="1549"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Accelerated filer ☐</w:t>
            </w:r>
          </w:p>
        </w:tc>
        <w:tc>
          <w:tcPr>
            <w:tcW w:w="1909"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Non-accelerated filer ☐</w:t>
            </w:r>
          </w:p>
        </w:tc>
        <w:tc>
          <w:tcPr>
            <w:tcW w:w="2363"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Smaller reporting company ☐</w:t>
            </w:r>
          </w:p>
        </w:tc>
        <w:tc>
          <w:tcPr>
            <w:tcW w:w="2382"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aggregate market value of the voting stock held by non-affiliates of the registrant as of July 28, 2023 (the last business day of the registrant’s most recently completed second fiscal quarter), based on the closing sale price per share as reported by the NASDAQ Stock Market LLC on such date, was approximately $4.4 billion. For purposes of this calculation only, the registrant has excluded all shares held in the treasury or that may be deemed to be beneficially owned by executive officers and directors of the registrant. By doing so, the registrant does not concede that such persons are affiliates for purposes of federal securities laws.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number of outstanding shares of the registrant’s common stock, $0.001 par value, as of March 22, 2024 was 61,366,747.</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DOCUMENTS INCORPORATED BY REFERENCE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Portions of the registrant’s definitive proxy statement for the 2024 Annual Meeting of Stockholders (the “Proxy Statement”), to be filed pursuant to Regulation 14A within 120 days after the end of the 2023 fiscal year, are incorporated by reference into Part III of this Form 10-K.</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HorizontalLine"/>
        <w:bidi w:val="0"/>
        <w:jc w:val="both"/>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bookmarkStart w:id="0" w:name="INDEX"/>
      <w:bookmarkEnd w:id="0"/>
      <w:r>
        <w:rPr>
          <w:rFonts w:ascii="Times New Roman" w:hAnsi="Times New Roman"/>
          <w:b/>
          <w:color w:val="000000"/>
          <w:sz w:val="20"/>
          <w:shd w:fill="FFFFFF" w:val="clear"/>
        </w:rPr>
        <w:t>INDEX</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62"/>
        <w:gridCol w:w="8891"/>
        <w:gridCol w:w="552"/>
      </w:tblGrid>
      <w:tr>
        <w:trPr/>
        <w:tc>
          <w:tcPr>
            <w:tcW w:w="762"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pPr>
            <w:r>
              <w:rPr/>
              <w:t xml:space="preserve">  </w:t>
            </w:r>
          </w:p>
        </w:tc>
        <w:tc>
          <w:tcPr>
            <w:tcW w:w="552" w:type="dxa"/>
            <w:tcBorders>
              <w:bottom w:val="single" w:sz="12" w:space="0" w:color="000000"/>
            </w:tcBorders>
            <w:tcMar>
              <w:bottom w:w="28" w:type="dxa"/>
            </w:tcMar>
            <w:vAlign w:val="center"/>
          </w:tcPr>
          <w:p>
            <w:pPr>
              <w:pStyle w:val="TableContents"/>
              <w:bidi w:val="0"/>
              <w:spacing w:before="0" w:after="0"/>
              <w:ind w:left="0" w:right="36" w:hanging="0"/>
              <w:jc w:val="center"/>
              <w:rPr>
                <w:b/>
              </w:rPr>
            </w:pPr>
            <w:r>
              <w:rPr>
                <w:b/>
              </w:rPr>
              <w:t>Page</w:t>
            </w:r>
          </w:p>
        </w:tc>
      </w:tr>
      <w:tr>
        <w:trPr/>
        <w:tc>
          <w:tcPr>
            <w:tcW w:w="9653" w:type="dxa"/>
            <w:gridSpan w:val="2"/>
            <w:tcBorders/>
            <w:vAlign w:val="center"/>
          </w:tcPr>
          <w:p>
            <w:pPr>
              <w:pStyle w:val="TableContents"/>
              <w:bidi w:val="0"/>
              <w:spacing w:before="0" w:after="0"/>
              <w:ind w:left="200" w:right="56" w:hanging="200"/>
              <w:jc w:val="left"/>
              <w:rPr>
                <w:b/>
              </w:rPr>
            </w:pPr>
            <w:r>
              <w:rPr>
                <w:b/>
              </w:rPr>
              <w:t>PART I</w:t>
            </w:r>
          </w:p>
        </w:tc>
        <w:tc>
          <w:tcPr>
            <w:tcW w:w="552" w:type="dxa"/>
            <w:tcBorders/>
            <w:vAlign w:val="center"/>
          </w:tcPr>
          <w:p>
            <w:pPr>
              <w:pStyle w:val="TableContents"/>
              <w:bidi w:val="0"/>
              <w:spacing w:before="0" w:after="283"/>
              <w:jc w:val="left"/>
              <w:rPr/>
            </w:pPr>
            <w:r>
              <w:rPr/>
              <w:t> </w:t>
            </w:r>
          </w:p>
        </w:tc>
      </w:tr>
      <w:tr>
        <w:trPr/>
        <w:tc>
          <w:tcPr>
            <w:tcW w:w="762" w:type="dxa"/>
            <w:tcBorders/>
            <w:shd w:fill="CCEEFF" w:val="clear"/>
            <w:vAlign w:val="center"/>
          </w:tcPr>
          <w:p>
            <w:pPr>
              <w:pStyle w:val="TableContents"/>
              <w:bidi w:val="0"/>
              <w:spacing w:before="0" w:after="0"/>
              <w:ind w:left="200" w:right="16" w:hanging="200"/>
              <w:jc w:val="left"/>
              <w:rPr/>
            </w:pPr>
            <w:r>
              <w:rPr/>
              <w:t>Item 1.</w:t>
            </w:r>
          </w:p>
        </w:tc>
        <w:tc>
          <w:tcPr>
            <w:tcW w:w="8891" w:type="dxa"/>
            <w:tcBorders/>
            <w:shd w:fill="CCEEFF" w:val="clear"/>
            <w:vAlign w:val="center"/>
          </w:tcPr>
          <w:p>
            <w:pPr>
              <w:pStyle w:val="TableContents"/>
              <w:bidi w:val="0"/>
              <w:spacing w:before="0" w:after="0"/>
              <w:ind w:left="200" w:right="16" w:hanging="200"/>
              <w:jc w:val="left"/>
              <w:rPr/>
            </w:pPr>
            <w:hyperlink w:anchor="Business.">
              <w:r>
                <w:rPr>
                  <w:rStyle w:val="InternetLink"/>
                </w:rPr>
                <w:t>Business</w:t>
              </w:r>
            </w:hyperlink>
          </w:p>
        </w:tc>
        <w:tc>
          <w:tcPr>
            <w:tcW w:w="552" w:type="dxa"/>
            <w:tcBorders/>
            <w:shd w:fill="CCEEFF" w:val="clear"/>
            <w:vAlign w:val="center"/>
          </w:tcPr>
          <w:p>
            <w:pPr>
              <w:pStyle w:val="TableContents"/>
              <w:bidi w:val="0"/>
              <w:spacing w:before="0" w:after="0"/>
              <w:ind w:left="0" w:right="16" w:hanging="0"/>
              <w:jc w:val="center"/>
              <w:rPr/>
            </w:pPr>
            <w:r>
              <w:rPr/>
              <w:t>1</w:t>
            </w:r>
          </w:p>
        </w:tc>
      </w:tr>
      <w:tr>
        <w:trPr/>
        <w:tc>
          <w:tcPr>
            <w:tcW w:w="762" w:type="dxa"/>
            <w:tcBorders/>
            <w:vAlign w:val="center"/>
          </w:tcPr>
          <w:p>
            <w:pPr>
              <w:pStyle w:val="TableContents"/>
              <w:bidi w:val="0"/>
              <w:spacing w:before="0" w:after="0"/>
              <w:ind w:left="200" w:right="16" w:hanging="200"/>
              <w:jc w:val="left"/>
              <w:rPr/>
            </w:pPr>
            <w:r>
              <w:rPr/>
              <w:t>Item 1A.</w:t>
            </w:r>
          </w:p>
        </w:tc>
        <w:tc>
          <w:tcPr>
            <w:tcW w:w="8891" w:type="dxa"/>
            <w:tcBorders/>
            <w:vAlign w:val="center"/>
          </w:tcPr>
          <w:p>
            <w:pPr>
              <w:pStyle w:val="TableContents"/>
              <w:bidi w:val="0"/>
              <w:spacing w:before="0" w:after="0"/>
              <w:ind w:left="200" w:right="16" w:hanging="200"/>
              <w:jc w:val="left"/>
              <w:rPr/>
            </w:pPr>
            <w:hyperlink w:anchor="RISKFACTORS">
              <w:r>
                <w:rPr>
                  <w:rStyle w:val="InternetLink"/>
                </w:rPr>
                <w:t>Risk Factors</w:t>
              </w:r>
            </w:hyperlink>
          </w:p>
        </w:tc>
        <w:tc>
          <w:tcPr>
            <w:tcW w:w="552" w:type="dxa"/>
            <w:tcBorders/>
            <w:vAlign w:val="center"/>
          </w:tcPr>
          <w:p>
            <w:pPr>
              <w:pStyle w:val="TableContents"/>
              <w:bidi w:val="0"/>
              <w:spacing w:before="0" w:after="0"/>
              <w:ind w:left="0" w:right="16" w:hanging="0"/>
              <w:jc w:val="center"/>
              <w:rPr/>
            </w:pPr>
            <w:r>
              <w:rPr/>
              <w:t>13</w:t>
            </w:r>
          </w:p>
        </w:tc>
      </w:tr>
      <w:tr>
        <w:trPr/>
        <w:tc>
          <w:tcPr>
            <w:tcW w:w="762" w:type="dxa"/>
            <w:tcBorders/>
            <w:shd w:fill="CCEEFF" w:val="clear"/>
            <w:vAlign w:val="center"/>
          </w:tcPr>
          <w:p>
            <w:pPr>
              <w:pStyle w:val="TableContents"/>
              <w:bidi w:val="0"/>
              <w:spacing w:before="0" w:after="0"/>
              <w:ind w:left="200" w:right="16" w:hanging="200"/>
              <w:jc w:val="left"/>
              <w:rPr/>
            </w:pPr>
            <w:r>
              <w:rPr/>
              <w:t>Item 1B.</w:t>
            </w:r>
          </w:p>
        </w:tc>
        <w:tc>
          <w:tcPr>
            <w:tcW w:w="8891" w:type="dxa"/>
            <w:tcBorders/>
            <w:shd w:fill="CCEEFF" w:val="clear"/>
            <w:vAlign w:val="center"/>
          </w:tcPr>
          <w:p>
            <w:pPr>
              <w:pStyle w:val="TableContents"/>
              <w:bidi w:val="0"/>
              <w:spacing w:before="0" w:after="0"/>
              <w:ind w:left="200" w:right="16" w:hanging="200"/>
              <w:jc w:val="left"/>
              <w:rPr/>
            </w:pPr>
            <w:hyperlink w:anchor="UnresolvedStaffComments">
              <w:r>
                <w:rPr>
                  <w:rStyle w:val="InternetLink"/>
                </w:rPr>
                <w:t>Unresolved Staff Comments</w:t>
              </w:r>
            </w:hyperlink>
          </w:p>
        </w:tc>
        <w:tc>
          <w:tcPr>
            <w:tcW w:w="552" w:type="dxa"/>
            <w:tcBorders/>
            <w:shd w:fill="CCEEFF" w:val="clear"/>
            <w:vAlign w:val="center"/>
          </w:tcPr>
          <w:p>
            <w:pPr>
              <w:pStyle w:val="TableContents"/>
              <w:bidi w:val="0"/>
              <w:spacing w:before="0" w:after="0"/>
              <w:ind w:left="0" w:right="16" w:hanging="0"/>
              <w:jc w:val="center"/>
              <w:rPr/>
            </w:pPr>
            <w:r>
              <w:rPr/>
              <w:t>32</w:t>
            </w:r>
          </w:p>
        </w:tc>
      </w:tr>
      <w:tr>
        <w:trPr/>
        <w:tc>
          <w:tcPr>
            <w:tcW w:w="762" w:type="dxa"/>
            <w:tcBorders/>
            <w:vAlign w:val="center"/>
          </w:tcPr>
          <w:p>
            <w:pPr>
              <w:pStyle w:val="TableContents"/>
              <w:bidi w:val="0"/>
              <w:spacing w:before="0" w:after="0"/>
              <w:ind w:left="200" w:right="16" w:hanging="200"/>
              <w:jc w:val="left"/>
              <w:rPr/>
            </w:pPr>
            <w:r>
              <w:rPr/>
              <w:t>Item 1C.</w:t>
            </w:r>
          </w:p>
        </w:tc>
        <w:tc>
          <w:tcPr>
            <w:tcW w:w="8891" w:type="dxa"/>
            <w:tcBorders/>
            <w:vAlign w:val="center"/>
          </w:tcPr>
          <w:p>
            <w:pPr>
              <w:pStyle w:val="TableContents"/>
              <w:bidi w:val="0"/>
              <w:spacing w:before="0" w:after="0"/>
              <w:ind w:left="200" w:right="16" w:hanging="200"/>
              <w:jc w:val="left"/>
              <w:rPr/>
            </w:pPr>
            <w:hyperlink w:anchor="Cybersecurity">
              <w:r>
                <w:rPr>
                  <w:rStyle w:val="InternetLink"/>
                </w:rPr>
                <w:t>Cybersecurity</w:t>
              </w:r>
            </w:hyperlink>
          </w:p>
        </w:tc>
        <w:tc>
          <w:tcPr>
            <w:tcW w:w="552" w:type="dxa"/>
            <w:tcBorders/>
            <w:vAlign w:val="center"/>
          </w:tcPr>
          <w:p>
            <w:pPr>
              <w:pStyle w:val="TableContents"/>
              <w:bidi w:val="0"/>
              <w:spacing w:before="0" w:after="0"/>
              <w:ind w:left="0" w:right="16" w:hanging="0"/>
              <w:jc w:val="center"/>
              <w:rPr/>
            </w:pPr>
            <w:r>
              <w:rPr/>
              <w:t>32</w:t>
            </w:r>
          </w:p>
        </w:tc>
      </w:tr>
      <w:tr>
        <w:trPr/>
        <w:tc>
          <w:tcPr>
            <w:tcW w:w="762" w:type="dxa"/>
            <w:tcBorders/>
            <w:shd w:fill="CCEEFF" w:val="clear"/>
            <w:vAlign w:val="center"/>
          </w:tcPr>
          <w:p>
            <w:pPr>
              <w:pStyle w:val="TableContents"/>
              <w:bidi w:val="0"/>
              <w:spacing w:before="0" w:after="0"/>
              <w:ind w:left="200" w:right="16" w:hanging="200"/>
              <w:jc w:val="left"/>
              <w:rPr/>
            </w:pPr>
            <w:r>
              <w:rPr/>
              <w:t>Item 2.</w:t>
            </w:r>
          </w:p>
        </w:tc>
        <w:tc>
          <w:tcPr>
            <w:tcW w:w="8891" w:type="dxa"/>
            <w:tcBorders/>
            <w:shd w:fill="CCEEFF" w:val="clear"/>
            <w:vAlign w:val="center"/>
          </w:tcPr>
          <w:p>
            <w:pPr>
              <w:pStyle w:val="TableContents"/>
              <w:bidi w:val="0"/>
              <w:spacing w:before="0" w:after="0"/>
              <w:ind w:left="200" w:right="16" w:hanging="200"/>
              <w:jc w:val="left"/>
              <w:rPr/>
            </w:pPr>
            <w:hyperlink w:anchor="Properties">
              <w:r>
                <w:rPr>
                  <w:rStyle w:val="InternetLink"/>
                </w:rPr>
                <w:t>Properties</w:t>
              </w:r>
            </w:hyperlink>
          </w:p>
        </w:tc>
        <w:tc>
          <w:tcPr>
            <w:tcW w:w="552" w:type="dxa"/>
            <w:tcBorders/>
            <w:shd w:fill="CCEEFF" w:val="clear"/>
            <w:vAlign w:val="center"/>
          </w:tcPr>
          <w:p>
            <w:pPr>
              <w:pStyle w:val="TableContents"/>
              <w:bidi w:val="0"/>
              <w:spacing w:before="0" w:after="0"/>
              <w:ind w:left="0" w:right="16" w:hanging="0"/>
              <w:jc w:val="center"/>
              <w:rPr/>
            </w:pPr>
            <w:r>
              <w:rPr/>
              <w:t>35</w:t>
            </w:r>
          </w:p>
        </w:tc>
      </w:tr>
      <w:tr>
        <w:trPr/>
        <w:tc>
          <w:tcPr>
            <w:tcW w:w="762" w:type="dxa"/>
            <w:tcBorders/>
            <w:vAlign w:val="center"/>
          </w:tcPr>
          <w:p>
            <w:pPr>
              <w:pStyle w:val="TableContents"/>
              <w:bidi w:val="0"/>
              <w:spacing w:before="0" w:after="0"/>
              <w:ind w:left="200" w:right="16" w:hanging="200"/>
              <w:jc w:val="left"/>
              <w:rPr/>
            </w:pPr>
            <w:r>
              <w:rPr/>
              <w:t>Item 3.</w:t>
            </w:r>
          </w:p>
        </w:tc>
        <w:tc>
          <w:tcPr>
            <w:tcW w:w="8891" w:type="dxa"/>
            <w:tcBorders/>
            <w:vAlign w:val="center"/>
          </w:tcPr>
          <w:p>
            <w:pPr>
              <w:pStyle w:val="TableContents"/>
              <w:bidi w:val="0"/>
              <w:spacing w:before="0" w:after="0"/>
              <w:ind w:left="200" w:right="16" w:hanging="200"/>
              <w:jc w:val="left"/>
              <w:rPr/>
            </w:pPr>
            <w:hyperlink w:anchor="LegalProceedings">
              <w:r>
                <w:rPr>
                  <w:rStyle w:val="InternetLink"/>
                </w:rPr>
                <w:t>Legal Proceedings</w:t>
              </w:r>
            </w:hyperlink>
          </w:p>
        </w:tc>
        <w:tc>
          <w:tcPr>
            <w:tcW w:w="552" w:type="dxa"/>
            <w:tcBorders/>
            <w:vAlign w:val="center"/>
          </w:tcPr>
          <w:p>
            <w:pPr>
              <w:pStyle w:val="TableContents"/>
              <w:bidi w:val="0"/>
              <w:spacing w:before="0" w:after="0"/>
              <w:ind w:left="0" w:right="16" w:hanging="0"/>
              <w:jc w:val="center"/>
              <w:rPr/>
            </w:pPr>
            <w:r>
              <w:rPr/>
              <w:t>35</w:t>
            </w:r>
          </w:p>
        </w:tc>
      </w:tr>
      <w:tr>
        <w:trPr/>
        <w:tc>
          <w:tcPr>
            <w:tcW w:w="762" w:type="dxa"/>
            <w:tcBorders/>
            <w:shd w:fill="CCEEFF" w:val="clear"/>
            <w:vAlign w:val="center"/>
          </w:tcPr>
          <w:p>
            <w:pPr>
              <w:pStyle w:val="TableContents"/>
              <w:bidi w:val="0"/>
              <w:spacing w:before="0" w:after="0"/>
              <w:ind w:left="200" w:right="16" w:hanging="200"/>
              <w:jc w:val="left"/>
              <w:rPr/>
            </w:pPr>
            <w:r>
              <w:rPr/>
              <w:t>Item 4.</w:t>
            </w:r>
          </w:p>
        </w:tc>
        <w:tc>
          <w:tcPr>
            <w:tcW w:w="8891" w:type="dxa"/>
            <w:tcBorders/>
            <w:shd w:fill="CCEEFF" w:val="clear"/>
            <w:vAlign w:val="center"/>
          </w:tcPr>
          <w:p>
            <w:pPr>
              <w:pStyle w:val="TableContents"/>
              <w:bidi w:val="0"/>
              <w:spacing w:before="0" w:after="0"/>
              <w:ind w:left="200" w:right="16" w:hanging="200"/>
              <w:jc w:val="left"/>
              <w:rPr/>
            </w:pPr>
            <w:hyperlink w:anchor="MineSafetyDisclosures">
              <w:r>
                <w:rPr>
                  <w:rStyle w:val="InternetLink"/>
                </w:rPr>
                <w:t>Mine Safety Disclosures</w:t>
              </w:r>
            </w:hyperlink>
          </w:p>
        </w:tc>
        <w:tc>
          <w:tcPr>
            <w:tcW w:w="552" w:type="dxa"/>
            <w:tcBorders/>
            <w:shd w:fill="CCEEFF" w:val="clear"/>
            <w:vAlign w:val="center"/>
          </w:tcPr>
          <w:p>
            <w:pPr>
              <w:pStyle w:val="TableContents"/>
              <w:bidi w:val="0"/>
              <w:spacing w:before="0" w:after="0"/>
              <w:ind w:left="0" w:right="16" w:hanging="0"/>
              <w:jc w:val="center"/>
              <w:rPr/>
            </w:pPr>
            <w:r>
              <w:rPr/>
              <w:t>35</w:t>
            </w:r>
          </w:p>
        </w:tc>
      </w:tr>
      <w:tr>
        <w:trPr/>
        <w:tc>
          <w:tcPr>
            <w:tcW w:w="9653" w:type="dxa"/>
            <w:gridSpan w:val="2"/>
            <w:tcBorders/>
            <w:vAlign w:val="center"/>
          </w:tcPr>
          <w:p>
            <w:pPr>
              <w:pStyle w:val="TableContents"/>
              <w:bidi w:val="0"/>
              <w:spacing w:before="0" w:after="0"/>
              <w:ind w:left="200" w:right="56" w:hanging="200"/>
              <w:jc w:val="left"/>
              <w:rPr>
                <w:b/>
              </w:rPr>
            </w:pPr>
            <w:r>
              <w:rPr>
                <w:b/>
              </w:rPr>
              <w:t>PART II</w:t>
            </w:r>
          </w:p>
        </w:tc>
        <w:tc>
          <w:tcPr>
            <w:tcW w:w="552" w:type="dxa"/>
            <w:tcBorders/>
            <w:vAlign w:val="center"/>
          </w:tcPr>
          <w:p>
            <w:pPr>
              <w:pStyle w:val="TableContents"/>
              <w:bidi w:val="0"/>
              <w:spacing w:before="0" w:after="283"/>
              <w:jc w:val="left"/>
              <w:rPr/>
            </w:pPr>
            <w:r>
              <w:rPr/>
              <w:t> </w:t>
            </w:r>
          </w:p>
        </w:tc>
      </w:tr>
      <w:tr>
        <w:trPr/>
        <w:tc>
          <w:tcPr>
            <w:tcW w:w="762" w:type="dxa"/>
            <w:tcBorders/>
            <w:shd w:fill="CCEEFF" w:val="clear"/>
            <w:vAlign w:val="center"/>
          </w:tcPr>
          <w:p>
            <w:pPr>
              <w:pStyle w:val="TableContents"/>
              <w:bidi w:val="0"/>
              <w:spacing w:before="0" w:after="0"/>
              <w:ind w:left="200" w:right="16" w:hanging="200"/>
              <w:jc w:val="left"/>
              <w:rPr/>
            </w:pPr>
            <w:r>
              <w:rPr/>
              <w:t>Item 5.</w:t>
            </w:r>
          </w:p>
        </w:tc>
        <w:tc>
          <w:tcPr>
            <w:tcW w:w="8891" w:type="dxa"/>
            <w:tcBorders/>
            <w:shd w:fill="CCEEFF" w:val="clear"/>
            <w:vAlign w:val="center"/>
          </w:tcPr>
          <w:p>
            <w:pPr>
              <w:pStyle w:val="TableContents"/>
              <w:bidi w:val="0"/>
              <w:spacing w:before="0" w:after="0"/>
              <w:ind w:left="200" w:right="16" w:hanging="200"/>
              <w:jc w:val="left"/>
              <w:rPr/>
            </w:pPr>
            <w:hyperlink w:anchor="MarketforRegistrantsCommo">
              <w:r>
                <w:rPr>
                  <w:rStyle w:val="InternetLink"/>
                </w:rPr>
                <w:t>Market for Registrant’s Common Equity, Related Stockholder Matters and Issuer Purchases of Equity Securities</w:t>
              </w:r>
            </w:hyperlink>
          </w:p>
        </w:tc>
        <w:tc>
          <w:tcPr>
            <w:tcW w:w="552" w:type="dxa"/>
            <w:tcBorders/>
            <w:shd w:fill="CCEEFF" w:val="clear"/>
            <w:vAlign w:val="center"/>
          </w:tcPr>
          <w:p>
            <w:pPr>
              <w:pStyle w:val="TableContents"/>
              <w:bidi w:val="0"/>
              <w:spacing w:before="0" w:after="0"/>
              <w:ind w:left="0" w:right="16" w:hanging="0"/>
              <w:jc w:val="center"/>
              <w:rPr/>
            </w:pPr>
            <w:r>
              <w:rPr/>
              <w:t>36</w:t>
            </w:r>
          </w:p>
        </w:tc>
      </w:tr>
      <w:tr>
        <w:trPr/>
        <w:tc>
          <w:tcPr>
            <w:tcW w:w="762" w:type="dxa"/>
            <w:tcBorders/>
            <w:vAlign w:val="center"/>
          </w:tcPr>
          <w:p>
            <w:pPr>
              <w:pStyle w:val="TableContents"/>
              <w:bidi w:val="0"/>
              <w:spacing w:before="0" w:after="0"/>
              <w:ind w:left="200" w:right="16" w:hanging="200"/>
              <w:jc w:val="left"/>
              <w:rPr/>
            </w:pPr>
            <w:r>
              <w:rPr/>
              <w:t>Item 6.</w:t>
            </w:r>
          </w:p>
        </w:tc>
        <w:tc>
          <w:tcPr>
            <w:tcW w:w="8891" w:type="dxa"/>
            <w:tcBorders/>
            <w:vAlign w:val="center"/>
          </w:tcPr>
          <w:p>
            <w:pPr>
              <w:pStyle w:val="TableContents"/>
              <w:bidi w:val="0"/>
              <w:spacing w:before="0" w:after="0"/>
              <w:ind w:left="200" w:right="16" w:hanging="200"/>
              <w:jc w:val="left"/>
              <w:rPr/>
            </w:pPr>
            <w:hyperlink w:anchor="Reserved">
              <w:r>
                <w:rPr>
                  <w:rStyle w:val="InternetLink"/>
                </w:rPr>
                <w:t>[Reserved]</w:t>
              </w:r>
            </w:hyperlink>
          </w:p>
        </w:tc>
        <w:tc>
          <w:tcPr>
            <w:tcW w:w="552" w:type="dxa"/>
            <w:tcBorders/>
            <w:vAlign w:val="center"/>
          </w:tcPr>
          <w:p>
            <w:pPr>
              <w:pStyle w:val="TableContents"/>
              <w:bidi w:val="0"/>
              <w:spacing w:before="0" w:after="0"/>
              <w:ind w:left="0" w:right="16" w:hanging="0"/>
              <w:jc w:val="center"/>
              <w:rPr/>
            </w:pPr>
            <w:r>
              <w:rPr/>
              <w:t>38</w:t>
            </w:r>
          </w:p>
        </w:tc>
      </w:tr>
      <w:tr>
        <w:trPr/>
        <w:tc>
          <w:tcPr>
            <w:tcW w:w="762" w:type="dxa"/>
            <w:tcBorders/>
            <w:shd w:fill="CCEEFF" w:val="clear"/>
            <w:vAlign w:val="center"/>
          </w:tcPr>
          <w:p>
            <w:pPr>
              <w:pStyle w:val="TableContents"/>
              <w:bidi w:val="0"/>
              <w:spacing w:before="0" w:after="0"/>
              <w:ind w:left="200" w:right="16" w:hanging="200"/>
              <w:jc w:val="left"/>
              <w:rPr/>
            </w:pPr>
            <w:r>
              <w:rPr/>
              <w:t>Item 7.</w:t>
            </w:r>
          </w:p>
        </w:tc>
        <w:tc>
          <w:tcPr>
            <w:tcW w:w="8891" w:type="dxa"/>
            <w:tcBorders/>
            <w:shd w:fill="CCEEFF" w:val="clear"/>
            <w:vAlign w:val="center"/>
          </w:tcPr>
          <w:p>
            <w:pPr>
              <w:pStyle w:val="TableContents"/>
              <w:bidi w:val="0"/>
              <w:spacing w:before="0" w:after="0"/>
              <w:ind w:left="200" w:right="16" w:hanging="200"/>
              <w:jc w:val="left"/>
              <w:rPr/>
            </w:pPr>
            <w:hyperlink w:anchor="ManagementsDiscussionandA">
              <w:r>
                <w:rPr>
                  <w:rStyle w:val="InternetLink"/>
                </w:rPr>
                <w:t>Management’s Discussion and Analysis of Financial Condition and Results of Operations</w:t>
              </w:r>
            </w:hyperlink>
          </w:p>
        </w:tc>
        <w:tc>
          <w:tcPr>
            <w:tcW w:w="552" w:type="dxa"/>
            <w:tcBorders/>
            <w:shd w:fill="CCEEFF" w:val="clear"/>
            <w:vAlign w:val="center"/>
          </w:tcPr>
          <w:p>
            <w:pPr>
              <w:pStyle w:val="TableContents"/>
              <w:bidi w:val="0"/>
              <w:spacing w:before="0" w:after="0"/>
              <w:ind w:left="0" w:right="16" w:hanging="0"/>
              <w:jc w:val="center"/>
              <w:rPr/>
            </w:pPr>
            <w:r>
              <w:rPr/>
              <w:t>38</w:t>
            </w:r>
          </w:p>
        </w:tc>
      </w:tr>
      <w:tr>
        <w:trPr/>
        <w:tc>
          <w:tcPr>
            <w:tcW w:w="762" w:type="dxa"/>
            <w:tcBorders/>
            <w:vAlign w:val="center"/>
          </w:tcPr>
          <w:p>
            <w:pPr>
              <w:pStyle w:val="TableContents"/>
              <w:bidi w:val="0"/>
              <w:spacing w:before="0" w:after="0"/>
              <w:ind w:left="200" w:right="16" w:hanging="200"/>
              <w:jc w:val="left"/>
              <w:rPr/>
            </w:pPr>
            <w:r>
              <w:rPr/>
              <w:t>Item 7A.</w:t>
            </w:r>
          </w:p>
        </w:tc>
        <w:tc>
          <w:tcPr>
            <w:tcW w:w="8891" w:type="dxa"/>
            <w:tcBorders/>
            <w:vAlign w:val="center"/>
          </w:tcPr>
          <w:p>
            <w:pPr>
              <w:pStyle w:val="TableContents"/>
              <w:bidi w:val="0"/>
              <w:spacing w:before="0" w:after="0"/>
              <w:ind w:left="200" w:right="16" w:hanging="200"/>
              <w:jc w:val="left"/>
              <w:rPr/>
            </w:pPr>
            <w:hyperlink w:anchor="QuantitativeandQualitativ">
              <w:r>
                <w:rPr>
                  <w:rStyle w:val="InternetLink"/>
                </w:rPr>
                <w:t>Quantitative and Qualitative Disclosures About Market Risk</w:t>
              </w:r>
            </w:hyperlink>
          </w:p>
        </w:tc>
        <w:tc>
          <w:tcPr>
            <w:tcW w:w="552" w:type="dxa"/>
            <w:tcBorders/>
            <w:vAlign w:val="center"/>
          </w:tcPr>
          <w:p>
            <w:pPr>
              <w:pStyle w:val="TableContents"/>
              <w:bidi w:val="0"/>
              <w:spacing w:before="0" w:after="0"/>
              <w:ind w:left="0" w:right="16" w:hanging="0"/>
              <w:jc w:val="center"/>
              <w:rPr/>
            </w:pPr>
            <w:r>
              <w:rPr/>
              <w:t>51</w:t>
            </w:r>
          </w:p>
        </w:tc>
      </w:tr>
      <w:tr>
        <w:trPr/>
        <w:tc>
          <w:tcPr>
            <w:tcW w:w="762" w:type="dxa"/>
            <w:tcBorders/>
            <w:shd w:fill="CCEEFF" w:val="clear"/>
            <w:vAlign w:val="center"/>
          </w:tcPr>
          <w:p>
            <w:pPr>
              <w:pStyle w:val="TableContents"/>
              <w:bidi w:val="0"/>
              <w:spacing w:before="0" w:after="0"/>
              <w:ind w:left="200" w:right="16" w:hanging="200"/>
              <w:jc w:val="left"/>
              <w:rPr/>
            </w:pPr>
            <w:r>
              <w:rPr/>
              <w:t>Item 8.</w:t>
            </w:r>
          </w:p>
        </w:tc>
        <w:tc>
          <w:tcPr>
            <w:tcW w:w="8891" w:type="dxa"/>
            <w:tcBorders/>
            <w:shd w:fill="CCEEFF" w:val="clear"/>
            <w:vAlign w:val="center"/>
          </w:tcPr>
          <w:p>
            <w:pPr>
              <w:pStyle w:val="TableContents"/>
              <w:bidi w:val="0"/>
              <w:spacing w:before="0" w:after="0"/>
              <w:ind w:left="200" w:right="16" w:hanging="200"/>
              <w:jc w:val="left"/>
              <w:rPr/>
            </w:pPr>
            <w:hyperlink w:anchor="FinancialStatementsandSup">
              <w:r>
                <w:rPr>
                  <w:rStyle w:val="InternetLink"/>
                </w:rPr>
                <w:t>Financial Statements and Supplementary Data</w:t>
              </w:r>
            </w:hyperlink>
          </w:p>
        </w:tc>
        <w:tc>
          <w:tcPr>
            <w:tcW w:w="552" w:type="dxa"/>
            <w:tcBorders/>
            <w:shd w:fill="CCEEFF" w:val="clear"/>
            <w:vAlign w:val="center"/>
          </w:tcPr>
          <w:p>
            <w:pPr>
              <w:pStyle w:val="TableContents"/>
              <w:bidi w:val="0"/>
              <w:spacing w:before="0" w:after="0"/>
              <w:ind w:left="0" w:right="16" w:hanging="0"/>
              <w:jc w:val="center"/>
              <w:rPr/>
            </w:pPr>
            <w:r>
              <w:rPr/>
              <w:t>52</w:t>
            </w:r>
          </w:p>
        </w:tc>
      </w:tr>
      <w:tr>
        <w:trPr/>
        <w:tc>
          <w:tcPr>
            <w:tcW w:w="762" w:type="dxa"/>
            <w:tcBorders/>
            <w:vAlign w:val="center"/>
          </w:tcPr>
          <w:p>
            <w:pPr>
              <w:pStyle w:val="TableContents"/>
              <w:bidi w:val="0"/>
              <w:spacing w:before="0" w:after="0"/>
              <w:ind w:left="200" w:right="16" w:hanging="200"/>
              <w:jc w:val="left"/>
              <w:rPr/>
            </w:pPr>
            <w:r>
              <w:rPr/>
              <w:t>Item 9.</w:t>
            </w:r>
          </w:p>
        </w:tc>
        <w:tc>
          <w:tcPr>
            <w:tcW w:w="8891" w:type="dxa"/>
            <w:tcBorders/>
            <w:vAlign w:val="center"/>
          </w:tcPr>
          <w:p>
            <w:pPr>
              <w:pStyle w:val="TableContents"/>
              <w:bidi w:val="0"/>
              <w:spacing w:before="0" w:after="0"/>
              <w:ind w:left="200" w:right="16" w:hanging="200"/>
              <w:jc w:val="left"/>
              <w:rPr/>
            </w:pPr>
            <w:hyperlink w:anchor="ChangesinandDisagreements">
              <w:r>
                <w:rPr>
                  <w:rStyle w:val="InternetLink"/>
                </w:rPr>
                <w:t>Changes in and Disagreements with Accountants on Accounting and Financial Disclosure</w:t>
              </w:r>
            </w:hyperlink>
          </w:p>
        </w:tc>
        <w:tc>
          <w:tcPr>
            <w:tcW w:w="552" w:type="dxa"/>
            <w:tcBorders/>
            <w:vAlign w:val="center"/>
          </w:tcPr>
          <w:p>
            <w:pPr>
              <w:pStyle w:val="TableContents"/>
              <w:bidi w:val="0"/>
              <w:spacing w:before="0" w:after="0"/>
              <w:ind w:left="0" w:right="16" w:hanging="0"/>
              <w:jc w:val="center"/>
              <w:rPr/>
            </w:pPr>
            <w:r>
              <w:rPr/>
              <w:t>78</w:t>
            </w:r>
          </w:p>
        </w:tc>
      </w:tr>
      <w:tr>
        <w:trPr/>
        <w:tc>
          <w:tcPr>
            <w:tcW w:w="762" w:type="dxa"/>
            <w:tcBorders/>
            <w:shd w:fill="CCEEFF" w:val="clear"/>
            <w:vAlign w:val="center"/>
          </w:tcPr>
          <w:p>
            <w:pPr>
              <w:pStyle w:val="TableContents"/>
              <w:bidi w:val="0"/>
              <w:spacing w:before="0" w:after="0"/>
              <w:ind w:left="200" w:right="16" w:hanging="200"/>
              <w:jc w:val="left"/>
              <w:rPr/>
            </w:pPr>
            <w:r>
              <w:rPr/>
              <w:t>Item 9A.</w:t>
            </w:r>
          </w:p>
        </w:tc>
        <w:tc>
          <w:tcPr>
            <w:tcW w:w="8891" w:type="dxa"/>
            <w:tcBorders/>
            <w:shd w:fill="CCEEFF" w:val="clear"/>
            <w:vAlign w:val="center"/>
          </w:tcPr>
          <w:p>
            <w:pPr>
              <w:pStyle w:val="TableContents"/>
              <w:bidi w:val="0"/>
              <w:spacing w:before="0" w:after="0"/>
              <w:ind w:left="200" w:right="16" w:hanging="200"/>
              <w:jc w:val="left"/>
              <w:rPr/>
            </w:pPr>
            <w:hyperlink w:anchor="ControlsandProcedures">
              <w:r>
                <w:rPr>
                  <w:rStyle w:val="InternetLink"/>
                </w:rPr>
                <w:t>Controls and Procedures</w:t>
              </w:r>
            </w:hyperlink>
          </w:p>
        </w:tc>
        <w:tc>
          <w:tcPr>
            <w:tcW w:w="552" w:type="dxa"/>
            <w:tcBorders/>
            <w:shd w:fill="CCEEFF" w:val="clear"/>
            <w:vAlign w:val="center"/>
          </w:tcPr>
          <w:p>
            <w:pPr>
              <w:pStyle w:val="TableContents"/>
              <w:bidi w:val="0"/>
              <w:spacing w:before="0" w:after="0"/>
              <w:ind w:left="0" w:right="16" w:hanging="0"/>
              <w:jc w:val="center"/>
              <w:rPr/>
            </w:pPr>
            <w:r>
              <w:rPr/>
              <w:t>78</w:t>
            </w:r>
          </w:p>
        </w:tc>
      </w:tr>
      <w:tr>
        <w:trPr/>
        <w:tc>
          <w:tcPr>
            <w:tcW w:w="762" w:type="dxa"/>
            <w:tcBorders/>
            <w:vAlign w:val="center"/>
          </w:tcPr>
          <w:p>
            <w:pPr>
              <w:pStyle w:val="TableContents"/>
              <w:bidi w:val="0"/>
              <w:spacing w:before="0" w:after="0"/>
              <w:ind w:left="200" w:right="16" w:hanging="200"/>
              <w:jc w:val="left"/>
              <w:rPr/>
            </w:pPr>
            <w:r>
              <w:rPr/>
              <w:t>Item 9B.</w:t>
            </w:r>
          </w:p>
        </w:tc>
        <w:tc>
          <w:tcPr>
            <w:tcW w:w="8891" w:type="dxa"/>
            <w:tcBorders/>
            <w:vAlign w:val="center"/>
          </w:tcPr>
          <w:p>
            <w:pPr>
              <w:pStyle w:val="TableContents"/>
              <w:bidi w:val="0"/>
              <w:spacing w:before="0" w:after="0"/>
              <w:ind w:left="200" w:right="16" w:hanging="200"/>
              <w:jc w:val="left"/>
              <w:rPr/>
            </w:pPr>
            <w:hyperlink w:anchor="OtherInformation">
              <w:r>
                <w:rPr>
                  <w:rStyle w:val="InternetLink"/>
                </w:rPr>
                <w:t>Other Information</w:t>
              </w:r>
            </w:hyperlink>
          </w:p>
        </w:tc>
        <w:tc>
          <w:tcPr>
            <w:tcW w:w="552" w:type="dxa"/>
            <w:tcBorders/>
            <w:vAlign w:val="center"/>
          </w:tcPr>
          <w:p>
            <w:pPr>
              <w:pStyle w:val="TableContents"/>
              <w:bidi w:val="0"/>
              <w:spacing w:before="0" w:after="0"/>
              <w:ind w:left="0" w:right="16" w:hanging="0"/>
              <w:jc w:val="center"/>
              <w:rPr/>
            </w:pPr>
            <w:r>
              <w:rPr/>
              <w:t>80</w:t>
            </w:r>
          </w:p>
        </w:tc>
      </w:tr>
      <w:tr>
        <w:trPr/>
        <w:tc>
          <w:tcPr>
            <w:tcW w:w="762" w:type="dxa"/>
            <w:tcBorders/>
            <w:shd w:fill="CCEEFF" w:val="clear"/>
            <w:vAlign w:val="center"/>
          </w:tcPr>
          <w:p>
            <w:pPr>
              <w:pStyle w:val="TableContents"/>
              <w:bidi w:val="0"/>
              <w:spacing w:before="0" w:after="0"/>
              <w:ind w:left="200" w:right="16" w:hanging="200"/>
              <w:jc w:val="left"/>
              <w:rPr/>
            </w:pPr>
            <w:r>
              <w:rPr/>
              <w:t>Item 9C.</w:t>
            </w:r>
          </w:p>
        </w:tc>
        <w:tc>
          <w:tcPr>
            <w:tcW w:w="8891" w:type="dxa"/>
            <w:tcBorders/>
            <w:shd w:fill="CCEEFF" w:val="clear"/>
            <w:vAlign w:val="center"/>
          </w:tcPr>
          <w:p>
            <w:pPr>
              <w:pStyle w:val="TableContents"/>
              <w:bidi w:val="0"/>
              <w:spacing w:before="0" w:after="0"/>
              <w:ind w:left="200" w:right="16" w:hanging="200"/>
              <w:jc w:val="left"/>
              <w:rPr/>
            </w:pPr>
            <w:hyperlink w:anchor="DisclosureRegardingForeig">
              <w:r>
                <w:rPr>
                  <w:rStyle w:val="InternetLink"/>
                </w:rPr>
                <w:t>Disclosure Regarding Foreign Jurisdictions that Prevent Inspections</w:t>
              </w:r>
            </w:hyperlink>
          </w:p>
        </w:tc>
        <w:tc>
          <w:tcPr>
            <w:tcW w:w="552" w:type="dxa"/>
            <w:tcBorders/>
            <w:shd w:fill="CCEEFF" w:val="clear"/>
            <w:vAlign w:val="center"/>
          </w:tcPr>
          <w:p>
            <w:pPr>
              <w:pStyle w:val="TableContents"/>
              <w:bidi w:val="0"/>
              <w:spacing w:before="0" w:after="0"/>
              <w:ind w:left="0" w:right="16" w:hanging="0"/>
              <w:jc w:val="center"/>
              <w:rPr/>
            </w:pPr>
            <w:r>
              <w:rPr/>
              <w:t>80</w:t>
            </w:r>
          </w:p>
        </w:tc>
      </w:tr>
      <w:tr>
        <w:trPr/>
        <w:tc>
          <w:tcPr>
            <w:tcW w:w="9653" w:type="dxa"/>
            <w:gridSpan w:val="2"/>
            <w:tcBorders/>
            <w:vAlign w:val="center"/>
          </w:tcPr>
          <w:p>
            <w:pPr>
              <w:pStyle w:val="TableContents"/>
              <w:bidi w:val="0"/>
              <w:spacing w:before="0" w:after="0"/>
              <w:ind w:left="200" w:right="56" w:hanging="200"/>
              <w:jc w:val="left"/>
              <w:rPr>
                <w:b/>
              </w:rPr>
            </w:pPr>
            <w:r>
              <w:rPr>
                <w:b/>
              </w:rPr>
              <w:t>PART III</w:t>
            </w:r>
          </w:p>
        </w:tc>
        <w:tc>
          <w:tcPr>
            <w:tcW w:w="552" w:type="dxa"/>
            <w:tcBorders/>
            <w:vAlign w:val="center"/>
          </w:tcPr>
          <w:p>
            <w:pPr>
              <w:pStyle w:val="TableContents"/>
              <w:bidi w:val="0"/>
              <w:spacing w:before="0" w:after="283"/>
              <w:jc w:val="left"/>
              <w:rPr/>
            </w:pPr>
            <w:r>
              <w:rPr/>
              <w:t> </w:t>
            </w:r>
          </w:p>
        </w:tc>
      </w:tr>
      <w:tr>
        <w:trPr/>
        <w:tc>
          <w:tcPr>
            <w:tcW w:w="762" w:type="dxa"/>
            <w:tcBorders/>
            <w:shd w:fill="CCEEFF" w:val="clear"/>
            <w:vAlign w:val="center"/>
          </w:tcPr>
          <w:p>
            <w:pPr>
              <w:pStyle w:val="TableContents"/>
              <w:bidi w:val="0"/>
              <w:spacing w:before="0" w:after="0"/>
              <w:ind w:left="200" w:right="16" w:hanging="200"/>
              <w:jc w:val="left"/>
              <w:rPr/>
            </w:pPr>
            <w:r>
              <w:rPr/>
              <w:t>Item 10.</w:t>
            </w:r>
          </w:p>
        </w:tc>
        <w:tc>
          <w:tcPr>
            <w:tcW w:w="8891" w:type="dxa"/>
            <w:tcBorders/>
            <w:shd w:fill="CCEEFF" w:val="clear"/>
            <w:vAlign w:val="center"/>
          </w:tcPr>
          <w:p>
            <w:pPr>
              <w:pStyle w:val="TableContents"/>
              <w:bidi w:val="0"/>
              <w:spacing w:before="0" w:after="0"/>
              <w:ind w:left="200" w:right="16" w:hanging="200"/>
              <w:jc w:val="left"/>
              <w:rPr/>
            </w:pPr>
            <w:hyperlink w:anchor="DirectorsExecutiveOfficer">
              <w:r>
                <w:rPr>
                  <w:rStyle w:val="InternetLink"/>
                </w:rPr>
                <w:t>Directors, Executive Officers and Corporate Governance</w:t>
              </w:r>
            </w:hyperlink>
          </w:p>
        </w:tc>
        <w:tc>
          <w:tcPr>
            <w:tcW w:w="552" w:type="dxa"/>
            <w:tcBorders/>
            <w:shd w:fill="CCEEFF" w:val="clear"/>
            <w:vAlign w:val="center"/>
          </w:tcPr>
          <w:p>
            <w:pPr>
              <w:pStyle w:val="TableContents"/>
              <w:bidi w:val="0"/>
              <w:spacing w:before="0" w:after="0"/>
              <w:ind w:left="0" w:right="16" w:hanging="0"/>
              <w:jc w:val="center"/>
              <w:rPr/>
            </w:pPr>
            <w:r>
              <w:rPr/>
              <w:t>80</w:t>
            </w:r>
          </w:p>
        </w:tc>
      </w:tr>
      <w:tr>
        <w:trPr/>
        <w:tc>
          <w:tcPr>
            <w:tcW w:w="762" w:type="dxa"/>
            <w:tcBorders/>
            <w:vAlign w:val="center"/>
          </w:tcPr>
          <w:p>
            <w:pPr>
              <w:pStyle w:val="TableContents"/>
              <w:bidi w:val="0"/>
              <w:spacing w:before="0" w:after="0"/>
              <w:ind w:left="200" w:right="16" w:hanging="200"/>
              <w:jc w:val="left"/>
              <w:rPr/>
            </w:pPr>
            <w:r>
              <w:rPr/>
              <w:t>Item 11.</w:t>
            </w:r>
          </w:p>
        </w:tc>
        <w:tc>
          <w:tcPr>
            <w:tcW w:w="8891" w:type="dxa"/>
            <w:tcBorders/>
            <w:vAlign w:val="center"/>
          </w:tcPr>
          <w:p>
            <w:pPr>
              <w:pStyle w:val="TableContents"/>
              <w:bidi w:val="0"/>
              <w:spacing w:before="0" w:after="0"/>
              <w:ind w:left="200" w:right="16" w:hanging="200"/>
              <w:jc w:val="left"/>
              <w:rPr/>
            </w:pPr>
            <w:hyperlink w:anchor="ExecutiveCompensation">
              <w:r>
                <w:rPr>
                  <w:rStyle w:val="InternetLink"/>
                </w:rPr>
                <w:t>Executive Compensation</w:t>
              </w:r>
            </w:hyperlink>
          </w:p>
        </w:tc>
        <w:tc>
          <w:tcPr>
            <w:tcW w:w="552" w:type="dxa"/>
            <w:tcBorders/>
            <w:vAlign w:val="center"/>
          </w:tcPr>
          <w:p>
            <w:pPr>
              <w:pStyle w:val="TableContents"/>
              <w:bidi w:val="0"/>
              <w:spacing w:before="0" w:after="0"/>
              <w:ind w:left="0" w:right="16" w:hanging="0"/>
              <w:jc w:val="center"/>
              <w:rPr/>
            </w:pPr>
            <w:r>
              <w:rPr/>
              <w:t>80</w:t>
            </w:r>
          </w:p>
        </w:tc>
      </w:tr>
      <w:tr>
        <w:trPr/>
        <w:tc>
          <w:tcPr>
            <w:tcW w:w="762" w:type="dxa"/>
            <w:tcBorders/>
            <w:shd w:fill="CCEEFF" w:val="clear"/>
            <w:vAlign w:val="center"/>
          </w:tcPr>
          <w:p>
            <w:pPr>
              <w:pStyle w:val="TableContents"/>
              <w:bidi w:val="0"/>
              <w:spacing w:before="0" w:after="0"/>
              <w:ind w:left="200" w:right="16" w:hanging="200"/>
              <w:jc w:val="left"/>
              <w:rPr/>
            </w:pPr>
            <w:r>
              <w:rPr/>
              <w:t>Item 12.</w:t>
            </w:r>
          </w:p>
        </w:tc>
        <w:tc>
          <w:tcPr>
            <w:tcW w:w="8891" w:type="dxa"/>
            <w:tcBorders/>
            <w:shd w:fill="CCEEFF" w:val="clear"/>
            <w:vAlign w:val="center"/>
          </w:tcPr>
          <w:p>
            <w:pPr>
              <w:pStyle w:val="TableContents"/>
              <w:bidi w:val="0"/>
              <w:spacing w:before="0" w:after="0"/>
              <w:ind w:left="200" w:right="16" w:hanging="200"/>
              <w:jc w:val="left"/>
              <w:rPr/>
            </w:pPr>
            <w:hyperlink w:anchor="SecurityOwnershipofCertai">
              <w:r>
                <w:rPr>
                  <w:rStyle w:val="InternetLink"/>
                </w:rPr>
                <w:t>Security Ownership of Certain Beneficial Owners and Management and Related Stockholder Matters</w:t>
              </w:r>
            </w:hyperlink>
          </w:p>
        </w:tc>
        <w:tc>
          <w:tcPr>
            <w:tcW w:w="552" w:type="dxa"/>
            <w:tcBorders/>
            <w:shd w:fill="CCEEFF" w:val="clear"/>
            <w:vAlign w:val="center"/>
          </w:tcPr>
          <w:p>
            <w:pPr>
              <w:pStyle w:val="TableContents"/>
              <w:bidi w:val="0"/>
              <w:spacing w:before="0" w:after="0"/>
              <w:ind w:left="0" w:right="16" w:hanging="0"/>
              <w:jc w:val="center"/>
              <w:rPr/>
            </w:pPr>
            <w:r>
              <w:rPr/>
              <w:t>80</w:t>
            </w:r>
          </w:p>
        </w:tc>
      </w:tr>
      <w:tr>
        <w:trPr/>
        <w:tc>
          <w:tcPr>
            <w:tcW w:w="762" w:type="dxa"/>
            <w:tcBorders/>
            <w:vAlign w:val="center"/>
          </w:tcPr>
          <w:p>
            <w:pPr>
              <w:pStyle w:val="TableContents"/>
              <w:bidi w:val="0"/>
              <w:spacing w:before="0" w:after="0"/>
              <w:ind w:left="200" w:right="16" w:hanging="200"/>
              <w:jc w:val="left"/>
              <w:rPr/>
            </w:pPr>
            <w:r>
              <w:rPr/>
              <w:t>Item 13.</w:t>
            </w:r>
          </w:p>
        </w:tc>
        <w:tc>
          <w:tcPr>
            <w:tcW w:w="8891" w:type="dxa"/>
            <w:tcBorders/>
            <w:vAlign w:val="center"/>
          </w:tcPr>
          <w:p>
            <w:pPr>
              <w:pStyle w:val="TableContents"/>
              <w:bidi w:val="0"/>
              <w:spacing w:before="0" w:after="0"/>
              <w:ind w:left="200" w:right="16" w:hanging="200"/>
              <w:jc w:val="left"/>
              <w:rPr/>
            </w:pPr>
            <w:hyperlink w:anchor="CertainRelationshipsandRe">
              <w:r>
                <w:rPr>
                  <w:rStyle w:val="InternetLink"/>
                </w:rPr>
                <w:t>Certain Relationships and Related Transactions, and Director Independence</w:t>
              </w:r>
            </w:hyperlink>
          </w:p>
        </w:tc>
        <w:tc>
          <w:tcPr>
            <w:tcW w:w="552" w:type="dxa"/>
            <w:tcBorders/>
            <w:vAlign w:val="center"/>
          </w:tcPr>
          <w:p>
            <w:pPr>
              <w:pStyle w:val="TableContents"/>
              <w:bidi w:val="0"/>
              <w:spacing w:before="0" w:after="0"/>
              <w:ind w:left="0" w:right="16" w:hanging="0"/>
              <w:jc w:val="center"/>
              <w:rPr/>
            </w:pPr>
            <w:r>
              <w:rPr/>
              <w:t>80</w:t>
            </w:r>
          </w:p>
        </w:tc>
      </w:tr>
      <w:tr>
        <w:trPr/>
        <w:tc>
          <w:tcPr>
            <w:tcW w:w="762" w:type="dxa"/>
            <w:tcBorders/>
            <w:shd w:fill="CCEEFF" w:val="clear"/>
            <w:vAlign w:val="center"/>
          </w:tcPr>
          <w:p>
            <w:pPr>
              <w:pStyle w:val="TableContents"/>
              <w:bidi w:val="0"/>
              <w:spacing w:before="0" w:after="0"/>
              <w:ind w:left="200" w:right="16" w:hanging="200"/>
              <w:jc w:val="left"/>
              <w:rPr/>
            </w:pPr>
            <w:r>
              <w:rPr/>
              <w:t>Item 14.</w:t>
            </w:r>
          </w:p>
        </w:tc>
        <w:tc>
          <w:tcPr>
            <w:tcW w:w="8891" w:type="dxa"/>
            <w:tcBorders/>
            <w:shd w:fill="CCEEFF" w:val="clear"/>
            <w:vAlign w:val="center"/>
          </w:tcPr>
          <w:p>
            <w:pPr>
              <w:pStyle w:val="TableContents"/>
              <w:bidi w:val="0"/>
              <w:spacing w:before="0" w:after="0"/>
              <w:ind w:left="200" w:right="16" w:hanging="200"/>
              <w:jc w:val="left"/>
              <w:rPr/>
            </w:pPr>
            <w:hyperlink w:anchor="PrincipalAccountantFeesan">
              <w:r>
                <w:rPr>
                  <w:rStyle w:val="InternetLink"/>
                </w:rPr>
                <w:t>Principal Accountant Fees and Services</w:t>
              </w:r>
            </w:hyperlink>
          </w:p>
        </w:tc>
        <w:tc>
          <w:tcPr>
            <w:tcW w:w="552" w:type="dxa"/>
            <w:tcBorders/>
            <w:shd w:fill="CCEEFF" w:val="clear"/>
            <w:vAlign w:val="center"/>
          </w:tcPr>
          <w:p>
            <w:pPr>
              <w:pStyle w:val="TableContents"/>
              <w:bidi w:val="0"/>
              <w:spacing w:before="0" w:after="0"/>
              <w:ind w:left="0" w:right="16" w:hanging="0"/>
              <w:jc w:val="center"/>
              <w:rPr/>
            </w:pPr>
            <w:r>
              <w:rPr/>
              <w:t>80</w:t>
            </w:r>
          </w:p>
        </w:tc>
      </w:tr>
      <w:tr>
        <w:trPr/>
        <w:tc>
          <w:tcPr>
            <w:tcW w:w="9653" w:type="dxa"/>
            <w:gridSpan w:val="2"/>
            <w:tcBorders/>
            <w:vAlign w:val="center"/>
          </w:tcPr>
          <w:p>
            <w:pPr>
              <w:pStyle w:val="TableContents"/>
              <w:bidi w:val="0"/>
              <w:spacing w:before="0" w:after="0"/>
              <w:ind w:left="200" w:right="56" w:hanging="200"/>
              <w:jc w:val="left"/>
              <w:rPr>
                <w:b/>
              </w:rPr>
            </w:pPr>
            <w:r>
              <w:rPr>
                <w:b/>
              </w:rPr>
              <w:t>PART IV</w:t>
            </w:r>
          </w:p>
        </w:tc>
        <w:tc>
          <w:tcPr>
            <w:tcW w:w="552" w:type="dxa"/>
            <w:tcBorders/>
            <w:vAlign w:val="center"/>
          </w:tcPr>
          <w:p>
            <w:pPr>
              <w:pStyle w:val="TableContents"/>
              <w:bidi w:val="0"/>
              <w:spacing w:before="0" w:after="283"/>
              <w:jc w:val="left"/>
              <w:rPr/>
            </w:pPr>
            <w:r>
              <w:rPr/>
              <w:t> </w:t>
            </w:r>
          </w:p>
        </w:tc>
      </w:tr>
      <w:tr>
        <w:trPr/>
        <w:tc>
          <w:tcPr>
            <w:tcW w:w="762" w:type="dxa"/>
            <w:tcBorders/>
            <w:shd w:fill="CCEEFF" w:val="clear"/>
            <w:vAlign w:val="center"/>
          </w:tcPr>
          <w:p>
            <w:pPr>
              <w:pStyle w:val="TableContents"/>
              <w:bidi w:val="0"/>
              <w:spacing w:before="0" w:after="0"/>
              <w:ind w:left="200" w:right="16" w:hanging="200"/>
              <w:jc w:val="left"/>
              <w:rPr/>
            </w:pPr>
            <w:r>
              <w:rPr/>
              <w:t>Item 15.</w:t>
            </w:r>
          </w:p>
        </w:tc>
        <w:tc>
          <w:tcPr>
            <w:tcW w:w="8891" w:type="dxa"/>
            <w:tcBorders/>
            <w:shd w:fill="CCEEFF" w:val="clear"/>
            <w:vAlign w:val="center"/>
          </w:tcPr>
          <w:p>
            <w:pPr>
              <w:pStyle w:val="TableContents"/>
              <w:bidi w:val="0"/>
              <w:spacing w:before="0" w:after="0"/>
              <w:ind w:left="200" w:right="16" w:hanging="200"/>
              <w:jc w:val="left"/>
              <w:rPr/>
            </w:pPr>
            <w:hyperlink w:anchor="ExhibitsandFinancialState">
              <w:r>
                <w:rPr>
                  <w:rStyle w:val="InternetLink"/>
                </w:rPr>
                <w:t>Exhibits and Financial Statement Schedules</w:t>
              </w:r>
            </w:hyperlink>
          </w:p>
        </w:tc>
        <w:tc>
          <w:tcPr>
            <w:tcW w:w="552" w:type="dxa"/>
            <w:tcBorders/>
            <w:shd w:fill="CCEEFF" w:val="clear"/>
            <w:vAlign w:val="center"/>
          </w:tcPr>
          <w:p>
            <w:pPr>
              <w:pStyle w:val="TableContents"/>
              <w:bidi w:val="0"/>
              <w:spacing w:before="0" w:after="0"/>
              <w:ind w:left="0" w:right="16" w:hanging="0"/>
              <w:jc w:val="center"/>
              <w:rPr/>
            </w:pPr>
            <w:r>
              <w:rPr/>
              <w:t>81</w:t>
            </w:r>
          </w:p>
        </w:tc>
      </w:tr>
      <w:tr>
        <w:trPr/>
        <w:tc>
          <w:tcPr>
            <w:tcW w:w="762" w:type="dxa"/>
            <w:tcBorders/>
            <w:vAlign w:val="center"/>
          </w:tcPr>
          <w:p>
            <w:pPr>
              <w:pStyle w:val="TableContents"/>
              <w:bidi w:val="0"/>
              <w:spacing w:before="0" w:after="0"/>
              <w:ind w:left="200" w:right="16" w:hanging="200"/>
              <w:jc w:val="left"/>
              <w:rPr/>
            </w:pPr>
            <w:r>
              <w:rPr/>
              <w:t>Item 16.</w:t>
            </w:r>
          </w:p>
        </w:tc>
        <w:tc>
          <w:tcPr>
            <w:tcW w:w="8891" w:type="dxa"/>
            <w:tcBorders/>
            <w:vAlign w:val="center"/>
          </w:tcPr>
          <w:p>
            <w:pPr>
              <w:pStyle w:val="TableContents"/>
              <w:bidi w:val="0"/>
              <w:spacing w:before="0" w:after="0"/>
              <w:ind w:left="200" w:right="16" w:hanging="200"/>
              <w:jc w:val="left"/>
              <w:rPr/>
            </w:pPr>
            <w:hyperlink w:anchor="Form10-KSummary">
              <w:r>
                <w:rPr>
                  <w:rStyle w:val="InternetLink"/>
                </w:rPr>
                <w:t>Form 10-K Summary</w:t>
              </w:r>
            </w:hyperlink>
          </w:p>
        </w:tc>
        <w:tc>
          <w:tcPr>
            <w:tcW w:w="552" w:type="dxa"/>
            <w:tcBorders/>
            <w:vAlign w:val="center"/>
          </w:tcPr>
          <w:p>
            <w:pPr>
              <w:pStyle w:val="TableContents"/>
              <w:bidi w:val="0"/>
              <w:spacing w:before="0" w:after="0"/>
              <w:ind w:left="0" w:right="16" w:hanging="0"/>
              <w:jc w:val="center"/>
              <w:rPr/>
            </w:pPr>
            <w:r>
              <w:rPr/>
              <w:t>84</w:t>
            </w:r>
          </w:p>
        </w:tc>
      </w:tr>
    </w:tbl>
    <w:p>
      <w:pPr>
        <w:pStyle w:val="TextBody"/>
        <w:bidi w:val="0"/>
        <w:spacing w:before="0" w:after="0"/>
        <w:jc w:val="center"/>
        <w:rPr>
          <w:b/>
        </w:rPr>
      </w:pPr>
      <w:r>
        <w:rPr>
          <w:b/>
        </w:rPr>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Cautionary note regarding 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Annual Report on Form 10-K contains forward-looking statements within the meaning of the U.S. Private Securities Litigation Reform Act of 1995. Forward-looking statements can be identified by words such as “could,” “may,” “might,” “will,” “likely,” “anticipates,” “intends,” “plans,” “seeks,” “believes,” “estimates,” “expects,” “continues,” “projects” and similar references to future periods, prospects, financial performance and industry outlook.  Examples of forward-looking statements include, but are not limited to, statements we make regarding the outlook for our future business and financial performance, such as those contained in “Item 7. Management’s Discussion and Analysis of Financial Condition and Results of Operations,” included elsewhere in this Annual Report on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Forward-looking statements are based on our current expectations and assumptions regarding our business, capital market conditions,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but not limited to, supply chain developments, legislation, national trade policy, and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our failure to adequately procure and manage our inventory, anticipate consumer demand, or achieve favorable product margins;</w:t>
            </w:r>
          </w:p>
        </w:tc>
      </w:tr>
    </w:tbl>
    <w:tbl>
      <w:tblPr>
        <w:tblW w:w="4638" w:type="dxa"/>
        <w:jc w:val="left"/>
        <w:tblInd w:w="0" w:type="dxa"/>
        <w:tblLayout w:type="fixed"/>
        <w:tblCellMar>
          <w:top w:w="0" w:type="dxa"/>
          <w:left w:w="0" w:type="dxa"/>
          <w:bottom w:w="0" w:type="dxa"/>
          <w:right w:w="0" w:type="dxa"/>
        </w:tblCellMar>
      </w:tblPr>
      <w:tblGrid>
        <w:gridCol w:w="38"/>
        <w:gridCol w:w="110"/>
        <w:gridCol w:w="44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490" w:type="dxa"/>
            <w:tcBorders/>
            <w:vAlign w:val="center"/>
          </w:tcPr>
          <w:p>
            <w:pPr>
              <w:pStyle w:val="TableContents"/>
              <w:bidi w:val="0"/>
              <w:spacing w:before="0" w:after="0"/>
              <w:jc w:val="both"/>
              <w:rPr>
                <w:color w:val="000000"/>
              </w:rPr>
            </w:pPr>
            <w:r>
              <w:rPr>
                <w:color w:val="000000"/>
              </w:rPr>
              <w:t>changes in consumer confidence and spending;</w:t>
            </w:r>
          </w:p>
        </w:tc>
      </w:tr>
    </w:tbl>
    <w:tbl>
      <w:tblPr>
        <w:tblW w:w="6573" w:type="dxa"/>
        <w:jc w:val="left"/>
        <w:tblInd w:w="0" w:type="dxa"/>
        <w:tblLayout w:type="fixed"/>
        <w:tblCellMar>
          <w:top w:w="0" w:type="dxa"/>
          <w:left w:w="0" w:type="dxa"/>
          <w:bottom w:w="0" w:type="dxa"/>
          <w:right w:w="0" w:type="dxa"/>
        </w:tblCellMar>
      </w:tblPr>
      <w:tblGrid>
        <w:gridCol w:w="38"/>
        <w:gridCol w:w="110"/>
        <w:gridCol w:w="6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425" w:type="dxa"/>
            <w:tcBorders/>
            <w:vAlign w:val="center"/>
          </w:tcPr>
          <w:p>
            <w:pPr>
              <w:pStyle w:val="TableContents"/>
              <w:bidi w:val="0"/>
              <w:spacing w:before="0" w:after="0"/>
              <w:jc w:val="both"/>
              <w:rPr>
                <w:color w:val="000000"/>
              </w:rPr>
            </w:pPr>
            <w:r>
              <w:rPr>
                <w:color w:val="000000"/>
              </w:rPr>
              <w:t>risks associated with our status as a “brick and mortar only” retailer;</w:t>
            </w:r>
          </w:p>
        </w:tc>
      </w:tr>
    </w:tbl>
    <w:tbl>
      <w:tblPr>
        <w:tblW w:w="4068" w:type="dxa"/>
        <w:jc w:val="left"/>
        <w:tblInd w:w="0" w:type="dxa"/>
        <w:tblLayout w:type="fixed"/>
        <w:tblCellMar>
          <w:top w:w="0" w:type="dxa"/>
          <w:left w:w="0" w:type="dxa"/>
          <w:bottom w:w="0" w:type="dxa"/>
          <w:right w:w="0" w:type="dxa"/>
        </w:tblCellMar>
      </w:tblPr>
      <w:tblGrid>
        <w:gridCol w:w="38"/>
        <w:gridCol w:w="110"/>
        <w:gridCol w:w="39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920" w:type="dxa"/>
            <w:tcBorders/>
            <w:vAlign w:val="center"/>
          </w:tcPr>
          <w:p>
            <w:pPr>
              <w:pStyle w:val="TableContents"/>
              <w:bidi w:val="0"/>
              <w:spacing w:before="0" w:after="0"/>
              <w:jc w:val="both"/>
              <w:rPr>
                <w:color w:val="000000"/>
              </w:rPr>
            </w:pPr>
            <w:r>
              <w:rPr>
                <w:color w:val="000000"/>
              </w:rPr>
              <w:t>risks associated with intense competition;</w:t>
            </w:r>
          </w:p>
        </w:tc>
      </w:tr>
    </w:tbl>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620" w:type="dxa"/>
            <w:tcBorders/>
            <w:vAlign w:val="center"/>
          </w:tcPr>
          <w:p>
            <w:pPr>
              <w:pStyle w:val="TableContents"/>
              <w:bidi w:val="0"/>
              <w:spacing w:before="0" w:after="0"/>
              <w:jc w:val="both"/>
              <w:rPr>
                <w:color w:val="000000"/>
              </w:rPr>
            </w:pPr>
            <w:r>
              <w:rPr>
                <w:color w:val="000000"/>
              </w:rPr>
              <w:t>our failure to open new profitable stores, or successfully enter new markets, on a timely basis or at all;</w:t>
            </w:r>
          </w:p>
        </w:tc>
      </w:tr>
    </w:tbl>
    <w:tbl>
      <w:tblPr>
        <w:tblW w:w="9003" w:type="dxa"/>
        <w:jc w:val="left"/>
        <w:tblInd w:w="0" w:type="dxa"/>
        <w:tblLayout w:type="fixed"/>
        <w:tblCellMar>
          <w:top w:w="0" w:type="dxa"/>
          <w:left w:w="0" w:type="dxa"/>
          <w:bottom w:w="0" w:type="dxa"/>
          <w:right w:w="0" w:type="dxa"/>
        </w:tblCellMar>
      </w:tblPr>
      <w:tblGrid>
        <w:gridCol w:w="38"/>
        <w:gridCol w:w="110"/>
        <w:gridCol w:w="8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855" w:type="dxa"/>
            <w:tcBorders/>
            <w:vAlign w:val="center"/>
          </w:tcPr>
          <w:p>
            <w:pPr>
              <w:pStyle w:val="TableContents"/>
              <w:bidi w:val="0"/>
              <w:spacing w:before="0" w:after="0"/>
              <w:jc w:val="both"/>
              <w:rPr>
                <w:color w:val="000000"/>
              </w:rPr>
            </w:pPr>
            <w:r>
              <w:rPr>
                <w:color w:val="000000"/>
              </w:rPr>
              <w:t>fluctuations in comparable store sales and results of operations, including on a quarterly basis;</w:t>
            </w:r>
          </w:p>
        </w:tc>
      </w:tr>
    </w:tbl>
    <w:tbl>
      <w:tblPr>
        <w:tblW w:w="5598" w:type="dxa"/>
        <w:jc w:val="left"/>
        <w:tblInd w:w="0" w:type="dxa"/>
        <w:tblLayout w:type="fixed"/>
        <w:tblCellMar>
          <w:top w:w="0" w:type="dxa"/>
          <w:left w:w="0" w:type="dxa"/>
          <w:bottom w:w="0" w:type="dxa"/>
          <w:right w:w="0" w:type="dxa"/>
        </w:tblCellMar>
      </w:tblPr>
      <w:tblGrid>
        <w:gridCol w:w="38"/>
        <w:gridCol w:w="110"/>
        <w:gridCol w:w="5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450" w:type="dxa"/>
            <w:tcBorders/>
            <w:vAlign w:val="center"/>
          </w:tcPr>
          <w:p>
            <w:pPr>
              <w:pStyle w:val="TableContents"/>
              <w:bidi w:val="0"/>
              <w:spacing w:before="0" w:after="0"/>
              <w:jc w:val="both"/>
              <w:rPr>
                <w:color w:val="000000"/>
              </w:rPr>
            </w:pPr>
            <w:r>
              <w:rPr>
                <w:color w:val="000000"/>
              </w:rPr>
              <w:t>factors such as inflation, cost increases and energy prices;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risks associated with doing business with international manufacturers and suppliers including, but not limited to, potential increases in tariffs on imported goods;</w:t>
            </w:r>
          </w:p>
        </w:tc>
      </w:tr>
    </w:tbl>
    <w:tbl>
      <w:tblPr>
        <w:tblW w:w="8448" w:type="dxa"/>
        <w:jc w:val="left"/>
        <w:tblInd w:w="0" w:type="dxa"/>
        <w:tblLayout w:type="fixed"/>
        <w:tblCellMar>
          <w:top w:w="0" w:type="dxa"/>
          <w:left w:w="0" w:type="dxa"/>
          <w:bottom w:w="0" w:type="dxa"/>
          <w:right w:w="0" w:type="dxa"/>
        </w:tblCellMar>
      </w:tblPr>
      <w:tblGrid>
        <w:gridCol w:w="38"/>
        <w:gridCol w:w="110"/>
        <w:gridCol w:w="83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300" w:type="dxa"/>
            <w:tcBorders/>
            <w:vAlign w:val="center"/>
          </w:tcPr>
          <w:p>
            <w:pPr>
              <w:pStyle w:val="TableContents"/>
              <w:bidi w:val="0"/>
              <w:spacing w:before="0" w:after="0"/>
              <w:jc w:val="both"/>
              <w:rPr>
                <w:color w:val="000000"/>
              </w:rPr>
            </w:pPr>
            <w:r>
              <w:rPr>
                <w:color w:val="000000"/>
              </w:rPr>
              <w:t>our inability to operate our stores due to civil unrest and related protests or disturbances;</w:t>
            </w:r>
          </w:p>
        </w:tc>
      </w:tr>
    </w:tbl>
    <w:tbl>
      <w:tblPr>
        <w:tblW w:w="8148" w:type="dxa"/>
        <w:jc w:val="left"/>
        <w:tblInd w:w="0" w:type="dxa"/>
        <w:tblLayout w:type="fixed"/>
        <w:tblCellMar>
          <w:top w:w="0" w:type="dxa"/>
          <w:left w:w="0" w:type="dxa"/>
          <w:bottom w:w="0" w:type="dxa"/>
          <w:right w:w="0" w:type="dxa"/>
        </w:tblCellMar>
      </w:tblPr>
      <w:tblGrid>
        <w:gridCol w:w="38"/>
        <w:gridCol w:w="110"/>
        <w:gridCol w:w="80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000" w:type="dxa"/>
            <w:tcBorders/>
            <w:vAlign w:val="center"/>
          </w:tcPr>
          <w:p>
            <w:pPr>
              <w:pStyle w:val="TableContents"/>
              <w:bidi w:val="0"/>
              <w:spacing w:before="0" w:after="0"/>
              <w:jc w:val="both"/>
              <w:rPr>
                <w:color w:val="000000"/>
              </w:rPr>
            </w:pPr>
            <w:r>
              <w:rPr>
                <w:color w:val="000000"/>
              </w:rPr>
              <w:t>our failure to properly hire and to retain key personnel and other qualified personnel;</w:t>
            </w:r>
          </w:p>
        </w:tc>
      </w:tr>
    </w:tbl>
    <w:tbl>
      <w:tblPr>
        <w:tblW w:w="3468" w:type="dxa"/>
        <w:jc w:val="left"/>
        <w:tblInd w:w="0" w:type="dxa"/>
        <w:tblLayout w:type="fixed"/>
        <w:tblCellMar>
          <w:top w:w="0" w:type="dxa"/>
          <w:left w:w="0" w:type="dxa"/>
          <w:bottom w:w="0" w:type="dxa"/>
          <w:right w:w="0" w:type="dxa"/>
        </w:tblCellMar>
      </w:tblPr>
      <w:tblGrid>
        <w:gridCol w:w="38"/>
        <w:gridCol w:w="110"/>
        <w:gridCol w:w="33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320" w:type="dxa"/>
            <w:tcBorders/>
            <w:vAlign w:val="center"/>
          </w:tcPr>
          <w:p>
            <w:pPr>
              <w:pStyle w:val="TableContents"/>
              <w:bidi w:val="0"/>
              <w:spacing w:before="0" w:after="0"/>
              <w:jc w:val="both"/>
              <w:rPr>
                <w:color w:val="000000"/>
              </w:rPr>
            </w:pPr>
            <w:r>
              <w:rPr>
                <w:color w:val="000000"/>
              </w:rPr>
              <w:t>changes in market levels of wages;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risks associated with cybersecurity events, and the timely and effective deployment, protection, and defense of computer networks and other electronic systems, including e-mail;</w:t>
            </w:r>
          </w:p>
        </w:tc>
      </w:tr>
    </w:tbl>
    <w:tbl>
      <w:tblPr>
        <w:tblW w:w="6003" w:type="dxa"/>
        <w:jc w:val="left"/>
        <w:tblInd w:w="0" w:type="dxa"/>
        <w:tblLayout w:type="fixed"/>
        <w:tblCellMar>
          <w:top w:w="0" w:type="dxa"/>
          <w:left w:w="0" w:type="dxa"/>
          <w:bottom w:w="0" w:type="dxa"/>
          <w:right w:w="0" w:type="dxa"/>
        </w:tblCellMar>
      </w:tblPr>
      <w:tblGrid>
        <w:gridCol w:w="38"/>
        <w:gridCol w:w="110"/>
        <w:gridCol w:w="5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855" w:type="dxa"/>
            <w:tcBorders/>
            <w:vAlign w:val="center"/>
          </w:tcPr>
          <w:p>
            <w:pPr>
              <w:pStyle w:val="TableContents"/>
              <w:bidi w:val="0"/>
              <w:spacing w:before="0" w:after="0"/>
              <w:jc w:val="both"/>
              <w:rPr>
                <w:color w:val="000000"/>
              </w:rPr>
            </w:pPr>
            <w:r>
              <w:rPr>
                <w:color w:val="000000"/>
              </w:rPr>
              <w:t>our inability to obtain favorable lease terms for our properties;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the failure to timely acquire, develop, open and operate, or the loss of, disruption or interruption in the operations of, any of our centralized distribution centers;</w:t>
            </w:r>
          </w:p>
        </w:tc>
      </w:tr>
    </w:tbl>
    <w:tbl>
      <w:tblPr>
        <w:tblW w:w="8103" w:type="dxa"/>
        <w:jc w:val="left"/>
        <w:tblInd w:w="0" w:type="dxa"/>
        <w:tblLayout w:type="fixed"/>
        <w:tblCellMar>
          <w:top w:w="0" w:type="dxa"/>
          <w:left w:w="0" w:type="dxa"/>
          <w:bottom w:w="0" w:type="dxa"/>
          <w:right w:w="0" w:type="dxa"/>
        </w:tblCellMar>
      </w:tblPr>
      <w:tblGrid>
        <w:gridCol w:w="38"/>
        <w:gridCol w:w="110"/>
        <w:gridCol w:w="79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955" w:type="dxa"/>
            <w:tcBorders/>
            <w:vAlign w:val="center"/>
          </w:tcPr>
          <w:p>
            <w:pPr>
              <w:pStyle w:val="TableContents"/>
              <w:bidi w:val="0"/>
              <w:spacing w:before="0" w:after="0"/>
              <w:jc w:val="both"/>
              <w:rPr>
                <w:color w:val="000000"/>
              </w:rPr>
            </w:pPr>
            <w:r>
              <w:rPr>
                <w:color w:val="000000"/>
              </w:rPr>
              <w:t>risks associated with our lack of operations in the growing online retail marketplace;</w:t>
            </w:r>
          </w:p>
        </w:tc>
      </w:tr>
    </w:tbl>
    <w:tbl>
      <w:tblPr>
        <w:tblW w:w="8733" w:type="dxa"/>
        <w:jc w:val="left"/>
        <w:tblInd w:w="0" w:type="dxa"/>
        <w:tblLayout w:type="fixed"/>
        <w:tblCellMar>
          <w:top w:w="0" w:type="dxa"/>
          <w:left w:w="0" w:type="dxa"/>
          <w:bottom w:w="0" w:type="dxa"/>
          <w:right w:w="0" w:type="dxa"/>
        </w:tblCellMar>
      </w:tblPr>
      <w:tblGrid>
        <w:gridCol w:w="38"/>
        <w:gridCol w:w="110"/>
        <w:gridCol w:w="8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585" w:type="dxa"/>
            <w:tcBorders/>
            <w:vAlign w:val="center"/>
          </w:tcPr>
          <w:p>
            <w:pPr>
              <w:pStyle w:val="TableContents"/>
              <w:bidi w:val="0"/>
              <w:spacing w:before="0" w:after="0"/>
              <w:jc w:val="both"/>
              <w:rPr>
                <w:color w:val="000000"/>
              </w:rPr>
            </w:pPr>
            <w:r>
              <w:rPr>
                <w:color w:val="000000"/>
              </w:rPr>
              <w:t>risks associated with litigation, the expense of defense, and potential for adverse outcomes;</w:t>
            </w:r>
          </w:p>
        </w:tc>
      </w:tr>
    </w:tbl>
    <w:tbl>
      <w:tblPr>
        <w:tblW w:w="9738" w:type="dxa"/>
        <w:jc w:val="left"/>
        <w:tblInd w:w="0" w:type="dxa"/>
        <w:tblLayout w:type="fixed"/>
        <w:tblCellMar>
          <w:top w:w="0" w:type="dxa"/>
          <w:left w:w="0" w:type="dxa"/>
          <w:bottom w:w="0" w:type="dxa"/>
          <w:right w:w="0" w:type="dxa"/>
        </w:tblCellMar>
      </w:tblPr>
      <w:tblGrid>
        <w:gridCol w:w="38"/>
        <w:gridCol w:w="110"/>
        <w:gridCol w:w="95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590" w:type="dxa"/>
            <w:tcBorders/>
            <w:vAlign w:val="center"/>
          </w:tcPr>
          <w:p>
            <w:pPr>
              <w:pStyle w:val="TableContents"/>
              <w:bidi w:val="0"/>
              <w:spacing w:before="0" w:after="0"/>
              <w:jc w:val="both"/>
              <w:rPr>
                <w:color w:val="000000"/>
              </w:rPr>
            </w:pPr>
            <w:r>
              <w:rPr>
                <w:color w:val="000000"/>
              </w:rPr>
              <w:t>our inability to successfully develop or implement our marketing, advertising and promotional efforts;</w:t>
            </w:r>
          </w:p>
        </w:tc>
      </w:tr>
    </w:tbl>
    <w:tbl>
      <w:tblPr>
        <w:tblW w:w="3513" w:type="dxa"/>
        <w:jc w:val="left"/>
        <w:tblInd w:w="0" w:type="dxa"/>
        <w:tblLayout w:type="fixed"/>
        <w:tblCellMar>
          <w:top w:w="0" w:type="dxa"/>
          <w:left w:w="0" w:type="dxa"/>
          <w:bottom w:w="0" w:type="dxa"/>
          <w:right w:w="0" w:type="dxa"/>
        </w:tblCellMar>
      </w:tblPr>
      <w:tblGrid>
        <w:gridCol w:w="38"/>
        <w:gridCol w:w="110"/>
        <w:gridCol w:w="33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0"/>
              <w:jc w:val="both"/>
              <w:rPr>
                <w:color w:val="000000"/>
              </w:rPr>
            </w:pPr>
            <w:r>
              <w:rPr>
                <w:color w:val="000000"/>
              </w:rPr>
              <w:t>the seasonal nature of our business;</w:t>
            </w:r>
          </w:p>
        </w:tc>
      </w:tr>
    </w:tbl>
    <w:tbl>
      <w:tblPr>
        <w:tblW w:w="7713" w:type="dxa"/>
        <w:jc w:val="left"/>
        <w:tblInd w:w="0" w:type="dxa"/>
        <w:tblLayout w:type="fixed"/>
        <w:tblCellMar>
          <w:top w:w="0" w:type="dxa"/>
          <w:left w:w="0" w:type="dxa"/>
          <w:bottom w:w="0" w:type="dxa"/>
          <w:right w:w="0" w:type="dxa"/>
        </w:tblCellMar>
      </w:tblPr>
      <w:tblGrid>
        <w:gridCol w:w="38"/>
        <w:gridCol w:w="110"/>
        <w:gridCol w:w="75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565" w:type="dxa"/>
            <w:tcBorders/>
            <w:vAlign w:val="center"/>
          </w:tcPr>
          <w:p>
            <w:pPr>
              <w:pStyle w:val="TableContents"/>
              <w:bidi w:val="0"/>
              <w:spacing w:before="0" w:after="0"/>
              <w:jc w:val="both"/>
              <w:rPr>
                <w:color w:val="000000"/>
              </w:rPr>
            </w:pPr>
            <w:r>
              <w:rPr>
                <w:color w:val="000000"/>
              </w:rPr>
              <w:t>risks associated with natural disasters, whether or not caused by climate change;</w:t>
            </w:r>
          </w:p>
        </w:tc>
      </w:tr>
    </w:tbl>
    <w:tbl>
      <w:tblPr>
        <w:tblW w:w="7608" w:type="dxa"/>
        <w:jc w:val="left"/>
        <w:tblInd w:w="0" w:type="dxa"/>
        <w:tblLayout w:type="fixed"/>
        <w:tblCellMar>
          <w:top w:w="0" w:type="dxa"/>
          <w:left w:w="0" w:type="dxa"/>
          <w:bottom w:w="0" w:type="dxa"/>
          <w:right w:w="0" w:type="dxa"/>
        </w:tblCellMar>
      </w:tblPr>
      <w:tblGrid>
        <w:gridCol w:w="38"/>
        <w:gridCol w:w="110"/>
        <w:gridCol w:w="74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460" w:type="dxa"/>
            <w:tcBorders/>
            <w:vAlign w:val="center"/>
          </w:tcPr>
          <w:p>
            <w:pPr>
              <w:pStyle w:val="TableContents"/>
              <w:bidi w:val="0"/>
              <w:spacing w:before="0" w:after="0"/>
              <w:jc w:val="both"/>
              <w:rPr>
                <w:color w:val="000000"/>
              </w:rPr>
            </w:pPr>
            <w:r>
              <w:rPr>
                <w:color w:val="000000"/>
              </w:rPr>
              <w:t>outbreak of viruses, global health epidemics, pandemics, or widespread illness;</w:t>
            </w:r>
          </w:p>
        </w:tc>
      </w:tr>
    </w:tbl>
    <w:tbl>
      <w:tblPr>
        <w:tblW w:w="6768" w:type="dxa"/>
        <w:jc w:val="left"/>
        <w:tblInd w:w="0" w:type="dxa"/>
        <w:tblLayout w:type="fixed"/>
        <w:tblCellMar>
          <w:top w:w="0" w:type="dxa"/>
          <w:left w:w="0" w:type="dxa"/>
          <w:bottom w:w="0" w:type="dxa"/>
          <w:right w:w="0" w:type="dxa"/>
        </w:tblCellMar>
      </w:tblPr>
      <w:tblGrid>
        <w:gridCol w:w="38"/>
        <w:gridCol w:w="110"/>
        <w:gridCol w:w="6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620" w:type="dxa"/>
            <w:tcBorders/>
            <w:vAlign w:val="center"/>
          </w:tcPr>
          <w:p>
            <w:pPr>
              <w:pStyle w:val="TableContents"/>
              <w:bidi w:val="0"/>
              <w:spacing w:before="0" w:after="0"/>
              <w:jc w:val="both"/>
              <w:rPr>
                <w:color w:val="000000"/>
              </w:rPr>
            </w:pPr>
            <w:r>
              <w:rPr>
                <w:color w:val="000000"/>
              </w:rPr>
              <w:t>changes in government regulations, procedures and requirements; and</w:t>
            </w:r>
          </w:p>
        </w:tc>
      </w:tr>
    </w:tbl>
    <w:tbl>
      <w:tblPr>
        <w:tblW w:w="7578" w:type="dxa"/>
        <w:jc w:val="left"/>
        <w:tblInd w:w="0" w:type="dxa"/>
        <w:tblLayout w:type="fixed"/>
        <w:tblCellMar>
          <w:top w:w="0" w:type="dxa"/>
          <w:left w:w="0" w:type="dxa"/>
          <w:bottom w:w="0" w:type="dxa"/>
          <w:right w:w="0" w:type="dxa"/>
        </w:tblCellMar>
      </w:tblPr>
      <w:tblGrid>
        <w:gridCol w:w="38"/>
        <w:gridCol w:w="110"/>
        <w:gridCol w:w="74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430" w:type="dxa"/>
            <w:tcBorders/>
            <w:vAlign w:val="center"/>
          </w:tcPr>
          <w:p>
            <w:pPr>
              <w:pStyle w:val="TableContents"/>
              <w:bidi w:val="0"/>
              <w:spacing w:before="0" w:after="0"/>
              <w:jc w:val="both"/>
              <w:rPr>
                <w:color w:val="000000"/>
              </w:rPr>
            </w:pPr>
            <w:r>
              <w:rPr>
                <w:color w:val="000000"/>
              </w:rPr>
              <w:t>our ability to service indebtedness and to comply with our financial covenants.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“Item 1A. Risk Factors” for a further description of these and other factors. For the reasons described above, we caution you against relying on any forward-looking statements, which should also be read in conjunction with the other cautionary statements that are included elsewhere in this Annual Report on Form 10-K. Any forward-looking statement made by us in this annual report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You are advised, however, to consult any further disclosures we make on related subjects in our public announcements and Securities and Exchange Commission (“SEC”) filings.</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Ollie’s Bargain Outlet Holdings, Inc. operates on a fiscal year, consisting of the 52- or 53-week period ending on the Saturday nearer January 31 of the following calendar year.  References to “2023,” “2022” and “2021” represent the 2023 fiscal year ended February 3, 2024, the 2022 fiscal year ended January 28, 2023, and the 2021 fiscal year ended January 29, 2022, respectively.  2023 consisted of 53-weeks and each of 2022 and 2021 consisted of 52-weeks. References to “2024” refer to the 52-week fiscal year ending February 1,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this report, the terms “Ollie’s,” the “Company,” “we,” “us” or “our” mean Ollie’s Bargain Outlet Holdings, Inc. and its wholly owned subsidiaries, unless the context indicates otherwise.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 w:name="Business."/>
      <w:bookmarkStart w:id="2" w:name="Business."/>
      <w:bookmarkEnd w:id="2"/>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283"/>
              <w:jc w:val="left"/>
              <w:rPr>
                <w:b/>
              </w:rPr>
            </w:pPr>
            <w:r>
              <w:rPr>
                <w:b/>
              </w:rPr>
              <w:t>Item 1.</w:t>
            </w:r>
          </w:p>
        </w:tc>
        <w:tc>
          <w:tcPr>
            <w:tcW w:w="965" w:type="dxa"/>
            <w:tcBorders/>
            <w:vAlign w:val="center"/>
          </w:tcPr>
          <w:p>
            <w:pPr>
              <w:pStyle w:val="TableContents"/>
              <w:bidi w:val="0"/>
              <w:spacing w:before="0" w:after="0"/>
              <w:jc w:val="left"/>
              <w:rPr>
                <w:b/>
              </w:rPr>
            </w:pPr>
            <w:r>
              <w:rPr>
                <w:b/>
              </w:rPr>
              <w:t>Business.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Ollie’s is America’s largest retailer of closeout merchandise and excess inventory. Our stores sell name brand household related items that consumers use in their everyday lives at prices that are typically 20% to 70% below traditional retailers.  Known for our assortment of products offered as “Good Stuff Cheap,” we offer customers a broad selection of brand name products, including housewares, bed and bath, food, floor coverings, health and beauty aids, books and stationery, toys and electronics. Our differentiated go-to market strategy is characterized by a unique, fun and engaging treasure hunt shopping experience, compelling customer value proposition and witty, humorous in-store signage, and advertising campaigns. These attributes have driven our rapid growth and strong and consistent store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Ollie’s was founded based on the idea that “everyone in America loves a bargain.” Since opening our first store in Mechanicsburg, PA in 1982, Ollie’s has been offering customers high quality brand name products at drastically reduced prices through the buying and selling of closeout merchandise and excess inventory. Our store base has grown organically by backfilling existing markets and leveraging our brand awareness, marketing, and infrastructure to expand into new markets in contiguous states. We have grown to 512 stores in 30 states as of February 3, 2024. Our no-frills, “semi-lovely” warehouse style stores average approximately 33,000 square feet and generate consistently strong financial returns across all vintages, geographic regions, population densities, demographic groups, real estate formats and regardless of any co-tenant. Our business model has resulted in positive financial performance during strong and weak economic cycles. We recently completed our latest Real Estate feasibility study, which utilizes population and demographic data to look at store count and density across a changing United States landscape. The migration trend out of larger metropolitan areas and into rural suburban areas is a positive trend for Ollie’s and our latest analysis concludes that we could operate as many as 1,300 stores nationwide, up from a previous target of 1,050.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closeout industry is large, highly fragmented, and growing. Fueling the growth is the consolidation of retailers and manufacturers around the globe. Larger retailers are being supplied by larger manufacturers and this is leading to larger order and product flows. In addition, manufacturers are constantly developing and introducing new products, new packaging, and working around endless changes and disruptions in the marketplace and supply chain. This is driving growth in the number of products being offered for sale by manufacturers at closeout type of prices. At the same time, the retail side of the closeout industry is highly fragmented, with many independent operators and small format stores.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constantly changing merchandise assortment is procured by a highly experienced merchant team, who leverage deep, long-standing relationships with hundreds of major manufacturers, wholesalers, distributors, brokers, and retailers. These relationships enable our merchant team to find and select only the best buys from a broad range of brand name closeout product offerings and to pass drastically reduced prices along to our customers. As we grow, we believe our increased scale has provided and will continue to provide us with even greater access to brand name products as larger manufacturers seek larger buyers capable of acquiring an entire deal. Our merchant team augments these deals with directly sourced products, including Ollie’s own private label brands and other products exclusive to Ollie’s.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model has produced consistently strong growth and financial performance. From 2019 through 2023:</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color w:val="000000"/>
              </w:rPr>
              <w:t>Our store base expanded from 345 stores to 512 stores, a compound annual growth rate, or CAGR, of 10.4% and we entered five new states;</w:t>
            </w:r>
          </w:p>
        </w:tc>
      </w:tr>
    </w:tbl>
    <w:p>
      <w:pPr>
        <w:pStyle w:val="TextBody"/>
        <w:bidi w:val="0"/>
        <w:spacing w:before="0" w:after="0"/>
        <w:jc w:val="left"/>
        <w:rPr>
          <w:color w:val="000000"/>
          <w:shd w:fill="FFFFFF" w:val="clear"/>
        </w:rPr>
      </w:pPr>
      <w:r>
        <w:rPr>
          <w:color w:val="000000"/>
          <w:shd w:fill="FFFFFF" w:val="clear"/>
        </w:rPr>
        <w:t> </w:t>
      </w:r>
    </w:p>
    <w:tbl>
      <w:tblPr>
        <w:tblW w:w="6708" w:type="dxa"/>
        <w:jc w:val="left"/>
        <w:tblInd w:w="0" w:type="dxa"/>
        <w:tblLayout w:type="fixed"/>
        <w:tblCellMar>
          <w:top w:w="0" w:type="dxa"/>
          <w:left w:w="0" w:type="dxa"/>
          <w:bottom w:w="0" w:type="dxa"/>
          <w:right w:w="0" w:type="dxa"/>
        </w:tblCellMar>
      </w:tblPr>
      <w:tblGrid>
        <w:gridCol w:w="38"/>
        <w:gridCol w:w="110"/>
        <w:gridCol w:w="65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560" w:type="dxa"/>
            <w:tcBorders/>
            <w:vAlign w:val="center"/>
          </w:tcPr>
          <w:p>
            <w:pPr>
              <w:pStyle w:val="TableContents"/>
              <w:bidi w:val="0"/>
              <w:spacing w:before="0" w:after="0"/>
              <w:jc w:val="both"/>
              <w:rPr>
                <w:color w:val="000000"/>
              </w:rPr>
            </w:pPr>
            <w:r>
              <w:rPr>
                <w:color w:val="000000"/>
              </w:rPr>
              <w:t>Comparable store sales grew at an average rate of 1.0% per year; and</w:t>
            </w:r>
          </w:p>
        </w:tc>
      </w:tr>
    </w:tbl>
    <w:p>
      <w:pPr>
        <w:pStyle w:val="TextBody"/>
        <w:bidi w:val="0"/>
        <w:spacing w:before="0" w:after="0"/>
        <w:jc w:val="left"/>
        <w:rPr>
          <w:color w:val="000000"/>
          <w:shd w:fill="FFFFFF" w:val="clear"/>
        </w:rPr>
      </w:pPr>
      <w:r>
        <w:rPr>
          <w:color w:val="000000"/>
          <w:shd w:fill="FFFFFF" w:val="clear"/>
        </w:rPr>
        <w:t> </w:t>
      </w:r>
    </w:p>
    <w:tbl>
      <w:tblPr>
        <w:tblW w:w="7458" w:type="dxa"/>
        <w:jc w:val="left"/>
        <w:tblInd w:w="0" w:type="dxa"/>
        <w:tblLayout w:type="fixed"/>
        <w:tblCellMar>
          <w:top w:w="0" w:type="dxa"/>
          <w:left w:w="0" w:type="dxa"/>
          <w:bottom w:w="0" w:type="dxa"/>
          <w:right w:w="0" w:type="dxa"/>
        </w:tblCellMar>
      </w:tblPr>
      <w:tblGrid>
        <w:gridCol w:w="38"/>
        <w:gridCol w:w="110"/>
        <w:gridCol w:w="7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310" w:type="dxa"/>
            <w:tcBorders/>
            <w:vAlign w:val="center"/>
          </w:tcPr>
          <w:p>
            <w:pPr>
              <w:pStyle w:val="TableContents"/>
              <w:bidi w:val="0"/>
              <w:spacing w:before="0" w:after="0"/>
              <w:jc w:val="both"/>
              <w:rPr>
                <w:color w:val="000000"/>
              </w:rPr>
            </w:pPr>
            <w:r>
              <w:rPr>
                <w:color w:val="000000"/>
              </w:rPr>
              <w:t>Net sales increased from $1.408 billion to $2.103 billion, a CAGR of 10.5%.</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color w:val="000000"/>
          <w:shd w:fill="FFFFFF" w:val="clear"/>
        </w:rPr>
      </w:pPr>
      <w:r>
        <w:rPr>
          <w:color w:val="000000"/>
          <w:shd w:fill="FFFFFF" w:val="clear"/>
        </w:rPr>
        <w:drawing>
          <wp:inline distT="0" distB="0" distL="0" distR="0">
            <wp:extent cx="7600950" cy="2686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00950" cy="2686050"/>
                    </a:xfrm>
                    <a:prstGeom prst="rect">
                      <a:avLst/>
                    </a:prstGeom>
                  </pic:spPr>
                </pic:pic>
              </a:graphicData>
            </a:graphic>
          </wp:inline>
        </w:drawing>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p>
      <w:pPr>
        <w:pStyle w:val="TextBody"/>
        <w:bidi w:val="0"/>
        <w:spacing w:lineRule="auto" w:line="240" w:before="0" w:after="0"/>
        <w:jc w:val="center"/>
        <w:rPr>
          <w:rFonts w:ascii="Times New Roman" w:hAnsi="Times New Roman"/>
          <w:color w:val="000000"/>
          <w:sz w:val="20"/>
          <w:shd w:fill="FFFFFF" w:val="clear"/>
        </w:rPr>
      </w:pPr>
      <w:r>
        <w:rPr>
          <w:rFonts w:ascii="Times New Roman" w:hAnsi="Times New Roman"/>
          <w:color w:val="000000"/>
          <w:sz w:val="20"/>
          <w:shd w:fill="FFFFFF" w:val="clear"/>
        </w:rPr>
        <w:t>(1) 2023 consisted of 53 weeks compared with 52 weeks in the prior-year periods.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competitive strengths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the following strengths differentiate us from our competitors and serve as the foundation for our current and future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color w:val="000000"/>
          <w:shd w:fill="FFFFFF" w:val="clear"/>
        </w:rPr>
      </w:pPr>
      <w:r>
        <w:rPr>
          <w:color w:val="000000"/>
          <w:shd w:fill="FFFFFF" w:val="clear"/>
        </w:rPr>
        <w:t>“</w:t>
      </w:r>
      <w:r>
        <w:rPr>
          <w:rFonts w:ascii="Times New Roman" w:hAnsi="Times New Roman"/>
          <w:b/>
          <w:i/>
          <w:color w:val="000000"/>
          <w:sz w:val="20"/>
          <w:shd w:fill="FFFFFF" w:val="clear"/>
        </w:rPr>
        <w:t>Good Stuff Cheap”—Ever changing product assortment at drastically reduced prices</w:t>
      </w:r>
      <w:r>
        <w:rPr>
          <w:rFonts w:ascii="Times New Roman" w:hAnsi="Times New Roman"/>
          <w:color w:val="000000"/>
          <w:sz w:val="20"/>
          <w:shd w:fill="FFFFFF" w:val="clear"/>
        </w:rPr>
        <w:t>.    Our stores offer something for everyone across a diverse range of merchandise categories at prices typically 20 to 70% off traditional retailers. Our product assortment frequently changes based on the wide variety of deals available from the hundreds of brand name suppliers we have relationships with. We augment these opportunistic deals on brand name merchandise with directly-sourced unbranded products or those under our own private label brands and exclusively licensed recognizable brands and celebrity names. Brand name closeout merchandise represented approximately 65% and non-closeout goods and private label products collectively represented approximately 35% of the retail value of our 2023 merchandise purchases.  Our treasure hunt shopping environment and slogan “when it’s gone, it’s gone” help to instill a “shop now” sense of urgency that encourages frequent customer visits.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Our growing scale and highly experienced and disciplined merchant team</w:t>
      </w:r>
      <w:r>
        <w:rPr>
          <w:rFonts w:ascii="Times New Roman" w:hAnsi="Times New Roman"/>
          <w:color w:val="000000"/>
          <w:sz w:val="20"/>
          <w:shd w:fill="FFFFFF" w:val="clear"/>
        </w:rPr>
        <w:t>.    Since our founding in 1982, Ollie’s has been offering customers high quality brand name products at drastically reduced prices through the buying and selling of closeout merchandise and excess inventory. As we grow, we believe our increased scale provides us with even greater access to brand name closeout products as larger manufacturers seek larger buyers. Our merchant team maintains strong, long-standing relationships with a diverse group of suppliers, allowing us to procure branded merchandise at compelling values for our customers. We have been doing business with our top 15 suppliers for an average of over 15 years.  Our well-established relationships with our suppliers, together with our scale, buying power, financial credibility and responsiveness, often make Ollie’s the first call for available deals. Our direct relationships with our suppliers have increased as we have grown and we continuously strive to broaden our supplier network. These factors provide us with increased access to goods, which enable us to be more selective in our deal-making and, we believe, help us provide compelling value and assortment of goods to our customers and fuel our continued profitable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Distinctive brand and engaging shopping experience</w:t>
      </w:r>
      <w:r>
        <w:rPr>
          <w:rFonts w:ascii="Times New Roman" w:hAnsi="Times New Roman"/>
          <w:color w:val="000000"/>
          <w:sz w:val="20"/>
          <w:shd w:fill="FFFFFF" w:val="clear"/>
        </w:rPr>
        <w:t>.    Our distinctive and often self-deprecating humor and highly recognizable caricatures are used in our stores, flyers, mailers, website and email campaigns. We attempt to make our customers laugh as we poke fun at ourselves and current events. We believe this approach creates a strong connection to our brand and sets us apart from other, more traditional retailers. Our “semi-lovely” stores feature these same brand attributes together with witty signage in a warehouse format that creates a fun, relaxed and engaging shopping environment. We believe that by disarming our customers by getting them to giggle a bit, they are more likely to look at and trust our products for what they are—extremely great bargains. We offer a “30-day no hard time guarantee” as a means to overcome any skepticism associated with our cheap prices and to build trust and loyalty, because if our customers are not happy, we are not happy. We welcome customers to bring back their merchandise within that timeframe for a “no hard time” full refund. We also make it easy for our customers to browse our stores by displaying our products on easily accessible fixtures and by keeping the stores clean and well-lit. We believe our humorous brand image, compelling values and welcoming stores resonate with our customers and define Ollie’s as a unique and comfortable destination shopping location.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Extremely loyal “Ollie’s Army” customer base.</w:t>
      </w:r>
      <w:r>
        <w:rPr>
          <w:rFonts w:ascii="Times New Roman" w:hAnsi="Times New Roman"/>
          <w:color w:val="000000"/>
          <w:sz w:val="20"/>
          <w:shd w:fill="FFFFFF" w:val="clear"/>
        </w:rPr>
        <w:t>    Our best customers are members of our Ollie’s Army customer loyalty program, which stands at 14.0 million members as of February 3, 2024.  For 2023, over 80% of our sales were from Ollie’s Army members, and we grew our base of loyal members by 5.9% in 2023. Ollie’s Army members spend approximately 40% more per shopping trip at Ollie’s than non-members.  We identify our target customer as “anyone age 25 or older with a wallet or a purse” seeking a great bargain.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Strong and consistent store model built for growth.</w:t>
      </w:r>
      <w:r>
        <w:rPr>
          <w:rFonts w:ascii="Times New Roman" w:hAnsi="Times New Roman"/>
          <w:color w:val="000000"/>
          <w:sz w:val="20"/>
          <w:shd w:fill="FFFFFF" w:val="clear"/>
        </w:rPr>
        <w:t>    We employ a proven new store model that generates strong cash flow, consistent financial results and attractive returns on investment. Our highly flexible real estate approach has proven successful across all vintages, geographic regions, population densities, demographic groups, real estate formats and regardless of any co-tenant. New stores have consistently opened strong, with higher net sales in their first 12 months of operations, than average existing stores due to the brand excitement surrounding grand openings and produced an average payback period of approximately two years. We believe that our consistent store performance, strategically-located distribution centers, and disciplined approach to site selection support the portability and predictability of our new unit growth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Highly experienced and passionate management team</w:t>
      </w:r>
      <w:r>
        <w:rPr>
          <w:rFonts w:ascii="Times New Roman" w:hAnsi="Times New Roman"/>
          <w:color w:val="000000"/>
          <w:sz w:val="20"/>
          <w:shd w:fill="FFFFFF" w:val="clear"/>
        </w:rPr>
        <w:t>.    Our leadership team has guided our organization through its expansion and positioned us for continued growth. We have assembled a talented and dedicated team of executives. Our senior executives possess extensive experience across a broad range of disciplines, including merchandising, marketing, real estate, finance, store operations, supply chain management, and information technology. We believe by encouraging equity ownership and fostering a strong team culture, we have aligned the interests of our executives with those of our stockholders. We believe these factors result in a cohesive team focused on sustainable long-term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growth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plan to continue to drive growth in sales and profitability by executing on the following strategies: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Grow our store base.</w:t>
      </w:r>
      <w:r>
        <w:rPr>
          <w:rFonts w:ascii="Times New Roman" w:hAnsi="Times New Roman"/>
          <w:color w:val="000000"/>
          <w:sz w:val="20"/>
          <w:shd w:fill="FFFFFF" w:val="clear"/>
        </w:rPr>
        <w:t>  We believe our compelling value proposition and the success of our stores across a broad range of geographic regions, population densities, and demographic groups create a significant opportunity to profitably increase our store count. Our internal estimates and third-party research conducted by Hoffman Strategy Group indicate the potential for more than 1,300 national locations. Our new store real estate model is flexible and focuses predominately on second generation sites ranging in size from 25,000 to 35,000 square feet. We believe there is an ample supply of suitable low-cost, second generation real estate to allow us to infill within our existing markets as well as to expand into new, contiguous geographies. This approach leverages our distribution infrastructure, field management team, store management, marketing investments and brand awareness. We expect our new store openings to be the primary driver of our continued, consistent growth in sales and profitability.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Increase our offerings of great bargains.    </w:t>
      </w:r>
      <w:r>
        <w:rPr>
          <w:rFonts w:ascii="Times New Roman" w:hAnsi="Times New Roman"/>
          <w:color w:val="000000"/>
          <w:sz w:val="20"/>
          <w:shd w:fill="FFFFFF" w:val="clear"/>
        </w:rPr>
        <w:t>We will continue to enhance our supplier relationships and develop additional sources to acquire brand name closeout products for our customers. Our direct buying relationships with many major manufacturers, wholesalers, distributors, brokers, and retailers provide us with significant opportunities to expand our ever-changing assortment of brand name closeout merchandise at extreme values.  As we continue to grow, we believe our increased scale will provide us with even greater access to brand name closeout products as major manufacturers seek a single buyer to acquire an entire deal. We plan to further invest in our merchandising team in order to expand and enhance our sourcing relationships and product categories, which we expect will drive shopping frequency and increase customer spending.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Leverage and expand Ollie’s Army.</w:t>
      </w:r>
      <w:r>
        <w:rPr>
          <w:rFonts w:ascii="Times New Roman" w:hAnsi="Times New Roman"/>
          <w:color w:val="000000"/>
          <w:sz w:val="20"/>
          <w:shd w:fill="FFFFFF" w:val="clear"/>
        </w:rPr>
        <w:t>    We intend to recruit new Ollie’s Army members and increase their frequency of store visits and spending by enhancing our distinctive, fun and recognizable marketing programs, building brand awareness, further rewarding member loyalty and utilizing more sophisticated data-driven targeted marketing. We believe these strategies, coupled with a larger store base, will enable us to increase the amount of sales driven by loyal Ollie’s Army customers seeking the next great deal.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Segments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operate in one reporting segment.  See Note 12, “Segment Reporting and Entity-Wide Information,” to our audited consolidated financial statements included elsewhere in this Annual Report on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merchandise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offer a highly differentiated, constantly evolving assortment of brand name merchandise across a broad range of categories at drastically reduced prices. Our ever-changing assortment of “Good Stuff Cheap” includes brand name closeout merchandise from leading manufacturers. We augment our brand name merchandise with opportunistic purchases of unbranded goods and our own domestic and direct-import private label brands in underpenetrated categories to further enhance the assortment of products that we offer. Brand name closeout merchandise represented approximately 65% and non-closeout goods and private label products collectively represented approximately 35% of the retail value of our 2023 merchandise purchases.  We believe our compelling value proposition and the unique nature of our merchandise offerings have fostered our customer appeal across a variety of demographics and socioeconomic profiles.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warehouse format stores feature a broad number of categories including housewares, bed and bath, food, floor coverings, health and beauty aids, books and stationery, toys, and electronics as well as other products including hardware, candy, clothing, sporting goods, pet and lawn and garden products. We focus on buying cheap to sell cheap and source products as unique buying opportunities present themselves. Our merchandise mix is designed to combine unique and brand name bargains at extremely attractive price points. This approach results in frequently changing product assortments and localized offerings which encourage shopper frequency and a “shop now” sense of urgency as customers hunt to discover the next deal.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common element of our dynamic merchandise selection is the consistent delivery of great deals to our customers, with products offered at prices typically 20 to 70% off traditional retailers. Our product price tags allow customers to compare our competitor’s price against Ollie’s price to further highlight the savings they can realize by shopping at our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Product mix</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Examples of our product offerings include:</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b/>
                <w:i/>
                <w:color w:val="000000"/>
              </w:rPr>
              <w:t xml:space="preserve">Housewares: </w:t>
            </w:r>
            <w:r>
              <w:rPr>
                <w:color w:val="000000"/>
              </w:rPr>
              <w:t>cooking utensils, dishes, appliances, plastic containers, cutlery, storage and garbage bags, detergents and cleaning supplies, cookware and glassware, candles, hardware, frames, and giftware;</w:t>
            </w:r>
          </w:p>
        </w:tc>
      </w:tr>
    </w:tbl>
    <w:tbl>
      <w:tblPr>
        <w:tblW w:w="9093" w:type="dxa"/>
        <w:jc w:val="left"/>
        <w:tblInd w:w="0" w:type="dxa"/>
        <w:tblLayout w:type="fixed"/>
        <w:tblCellMar>
          <w:top w:w="0" w:type="dxa"/>
          <w:left w:w="0" w:type="dxa"/>
          <w:bottom w:w="0" w:type="dxa"/>
          <w:right w:w="0" w:type="dxa"/>
        </w:tblCellMar>
      </w:tblPr>
      <w:tblGrid>
        <w:gridCol w:w="38"/>
        <w:gridCol w:w="110"/>
        <w:gridCol w:w="89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45" w:type="dxa"/>
            <w:tcBorders/>
            <w:vAlign w:val="center"/>
          </w:tcPr>
          <w:p>
            <w:pPr>
              <w:pStyle w:val="TableContents"/>
              <w:bidi w:val="0"/>
              <w:spacing w:before="0" w:after="0"/>
              <w:jc w:val="both"/>
              <w:rPr>
                <w:color w:val="000000"/>
              </w:rPr>
            </w:pPr>
            <w:r>
              <w:rPr>
                <w:b/>
                <w:i/>
                <w:color w:val="000000"/>
              </w:rPr>
              <w:t xml:space="preserve">Bed and bath: </w:t>
            </w:r>
            <w:r>
              <w:rPr>
                <w:color w:val="000000"/>
              </w:rPr>
              <w:t>household goods including bedding, towels, curtains, and associated hardware;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b/>
                <w:i/>
                <w:color w:val="000000"/>
              </w:rPr>
              <w:t xml:space="preserve">Food: </w:t>
            </w:r>
            <w:r>
              <w:rPr>
                <w:color w:val="000000"/>
              </w:rPr>
              <w:t>packaged food including coffee, bottled non-carbonated beverages, salty snacks, candy, condiments, sauces, spices, dry pasta, canned goods, cereal, and cookies;</w:t>
            </w:r>
          </w:p>
        </w:tc>
      </w:tr>
    </w:tbl>
    <w:tbl>
      <w:tblPr>
        <w:tblW w:w="9543" w:type="dxa"/>
        <w:jc w:val="left"/>
        <w:tblInd w:w="0" w:type="dxa"/>
        <w:tblLayout w:type="fixed"/>
        <w:tblCellMar>
          <w:top w:w="0" w:type="dxa"/>
          <w:left w:w="0" w:type="dxa"/>
          <w:bottom w:w="0" w:type="dxa"/>
          <w:right w:w="0" w:type="dxa"/>
        </w:tblCellMar>
      </w:tblPr>
      <w:tblGrid>
        <w:gridCol w:w="38"/>
        <w:gridCol w:w="110"/>
        <w:gridCol w:w="93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395" w:type="dxa"/>
            <w:tcBorders/>
            <w:vAlign w:val="center"/>
          </w:tcPr>
          <w:p>
            <w:pPr>
              <w:pStyle w:val="TableContents"/>
              <w:bidi w:val="0"/>
              <w:spacing w:before="0" w:after="0"/>
              <w:jc w:val="both"/>
              <w:rPr>
                <w:color w:val="000000"/>
              </w:rPr>
            </w:pPr>
            <w:r>
              <w:rPr>
                <w:b/>
                <w:i/>
                <w:color w:val="000000"/>
              </w:rPr>
              <w:t xml:space="preserve">Floor coverings: </w:t>
            </w:r>
            <w:r>
              <w:rPr>
                <w:color w:val="000000"/>
              </w:rPr>
              <w:t>laminate flooring, commercial and residential carpeting, area rugs, and floor mats;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b/>
                <w:i/>
                <w:color w:val="000000"/>
              </w:rPr>
              <w:t xml:space="preserve">Books and stationery: </w:t>
            </w:r>
            <w:r>
              <w:rPr>
                <w:color w:val="000000"/>
              </w:rPr>
              <w:t>novels, children’s, how-to, business, cooking, inspirational and coffee table books, greeting cards and various office supplies, and party goods;</w:t>
            </w:r>
          </w:p>
        </w:tc>
      </w:tr>
    </w:tbl>
    <w:tbl>
      <w:tblPr>
        <w:tblW w:w="7443" w:type="dxa"/>
        <w:jc w:val="left"/>
        <w:tblInd w:w="0" w:type="dxa"/>
        <w:tblLayout w:type="fixed"/>
        <w:tblCellMar>
          <w:top w:w="0" w:type="dxa"/>
          <w:left w:w="0" w:type="dxa"/>
          <w:bottom w:w="0" w:type="dxa"/>
          <w:right w:w="0" w:type="dxa"/>
        </w:tblCellMar>
      </w:tblPr>
      <w:tblGrid>
        <w:gridCol w:w="38"/>
        <w:gridCol w:w="110"/>
        <w:gridCol w:w="7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pPr>
            <w:r>
              <w:rPr>
                <w:b/>
                <w:i/>
                <w:color w:val="000000"/>
              </w:rPr>
              <w:t xml:space="preserve">Electronics: </w:t>
            </w:r>
            <w:r>
              <w:rPr/>
              <w:t>home electronics, cellular accessories, and as seen on television;</w:t>
            </w:r>
          </w:p>
        </w:tc>
      </w:tr>
    </w:tbl>
    <w:tbl>
      <w:tblPr>
        <w:tblW w:w="8733" w:type="dxa"/>
        <w:jc w:val="left"/>
        <w:tblInd w:w="0" w:type="dxa"/>
        <w:tblLayout w:type="fixed"/>
        <w:tblCellMar>
          <w:top w:w="0" w:type="dxa"/>
          <w:left w:w="0" w:type="dxa"/>
          <w:bottom w:w="0" w:type="dxa"/>
          <w:right w:w="0" w:type="dxa"/>
        </w:tblCellMar>
      </w:tblPr>
      <w:tblGrid>
        <w:gridCol w:w="38"/>
        <w:gridCol w:w="110"/>
        <w:gridCol w:w="8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585" w:type="dxa"/>
            <w:tcBorders/>
            <w:vAlign w:val="center"/>
          </w:tcPr>
          <w:p>
            <w:pPr>
              <w:pStyle w:val="TableContents"/>
              <w:bidi w:val="0"/>
              <w:spacing w:before="0" w:after="0"/>
              <w:jc w:val="both"/>
              <w:rPr>
                <w:color w:val="000000"/>
              </w:rPr>
            </w:pPr>
            <w:r>
              <w:rPr>
                <w:b/>
                <w:i/>
                <w:color w:val="000000"/>
              </w:rPr>
              <w:t xml:space="preserve">Toys: </w:t>
            </w:r>
            <w:r>
              <w:rPr>
                <w:color w:val="000000"/>
              </w:rPr>
              <w:t>dolls, action figures, puzzles, educational toys, board games, and other related items;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pPr>
            <w:r>
              <w:rPr>
                <w:b/>
                <w:i/>
                <w:color w:val="000000"/>
              </w:rPr>
              <w:t>Health and beauty aids:</w:t>
            </w:r>
            <w:r>
              <w:rPr>
                <w:color w:val="000000"/>
              </w:rPr>
              <w:t xml:space="preserve"> </w:t>
            </w:r>
            <w:r>
              <w:rPr/>
              <w:t>personal care, hair care, oral care, health and wellness, over-the-counter medicine, first aid, sun care, and personal grooming;</w:t>
            </w:r>
          </w:p>
        </w:tc>
      </w:tr>
    </w:tbl>
    <w:tbl>
      <w:tblPr>
        <w:tblW w:w="9018" w:type="dxa"/>
        <w:jc w:val="left"/>
        <w:tblInd w:w="0" w:type="dxa"/>
        <w:tblLayout w:type="fixed"/>
        <w:tblCellMar>
          <w:top w:w="0" w:type="dxa"/>
          <w:left w:w="0" w:type="dxa"/>
          <w:bottom w:w="0" w:type="dxa"/>
          <w:right w:w="0" w:type="dxa"/>
        </w:tblCellMar>
      </w:tblPr>
      <w:tblGrid>
        <w:gridCol w:w="38"/>
        <w:gridCol w:w="110"/>
        <w:gridCol w:w="88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870" w:type="dxa"/>
            <w:tcBorders/>
            <w:vAlign w:val="center"/>
          </w:tcPr>
          <w:p>
            <w:pPr>
              <w:pStyle w:val="TableContents"/>
              <w:bidi w:val="0"/>
              <w:spacing w:before="0" w:after="0"/>
              <w:jc w:val="both"/>
              <w:rPr>
                <w:color w:val="000000"/>
              </w:rPr>
            </w:pPr>
            <w:r>
              <w:rPr>
                <w:b/>
                <w:i/>
                <w:color w:val="000000"/>
              </w:rPr>
              <w:t>Seasonal:</w:t>
            </w:r>
            <w:r>
              <w:rPr>
                <w:color w:val="000000"/>
              </w:rPr>
              <w:t xml:space="preserve"> summer furniture, air conditioners, fans and space heaters, and lawn &amp; garden; and</w:t>
            </w:r>
          </w:p>
        </w:tc>
      </w:tr>
    </w:tbl>
    <w:tbl>
      <w:tblPr>
        <w:tblW w:w="6948" w:type="dxa"/>
        <w:jc w:val="left"/>
        <w:tblInd w:w="0" w:type="dxa"/>
        <w:tblLayout w:type="fixed"/>
        <w:tblCellMar>
          <w:top w:w="0" w:type="dxa"/>
          <w:left w:w="0" w:type="dxa"/>
          <w:bottom w:w="0" w:type="dxa"/>
          <w:right w:w="0" w:type="dxa"/>
        </w:tblCellMar>
      </w:tblPr>
      <w:tblGrid>
        <w:gridCol w:w="38"/>
        <w:gridCol w:w="110"/>
        <w:gridCol w:w="68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800" w:type="dxa"/>
            <w:tcBorders/>
            <w:vAlign w:val="center"/>
          </w:tcPr>
          <w:p>
            <w:pPr>
              <w:pStyle w:val="TableContents"/>
              <w:bidi w:val="0"/>
              <w:spacing w:before="0" w:after="0"/>
              <w:jc w:val="both"/>
              <w:rPr>
                <w:color w:val="000000"/>
              </w:rPr>
            </w:pPr>
            <w:r>
              <w:rPr>
                <w:b/>
                <w:i/>
                <w:color w:val="000000"/>
              </w:rPr>
              <w:t xml:space="preserve">Other: </w:t>
            </w:r>
            <w:r>
              <w:rPr>
                <w:color w:val="000000"/>
              </w:rPr>
              <w:t>clothing, sporting goods, pet products, luggage, and automotive.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breakdown of our product offerings as a percentage of net sales for each of the last three fiscal years:</w:t>
      </w:r>
    </w:p>
    <w:p>
      <w:pPr>
        <w:pStyle w:val="TextBody"/>
        <w:bidi w:val="0"/>
        <w:spacing w:before="0" w:after="0"/>
        <w:jc w:val="left"/>
        <w:rPr>
          <w:color w:val="000000"/>
          <w:shd w:fill="FFFFFF" w:val="clear"/>
        </w:rPr>
      </w:pPr>
      <w:r>
        <w:rPr>
          <w:color w:val="000000"/>
          <w:shd w:fill="FFFFFF" w:val="clear"/>
        </w:rPr>
        <w:t> </w:t>
      </w:r>
    </w:p>
    <w:tbl>
      <w:tblPr>
        <w:tblW w:w="3980" w:type="dxa"/>
        <w:jc w:val="left"/>
        <w:tblInd w:w="0" w:type="dxa"/>
        <w:tblLayout w:type="fixed"/>
        <w:tblCellMar>
          <w:top w:w="0" w:type="dxa"/>
          <w:left w:w="0" w:type="dxa"/>
          <w:bottom w:w="0" w:type="dxa"/>
          <w:right w:w="0" w:type="dxa"/>
        </w:tblCellMar>
      </w:tblPr>
      <w:tblGrid>
        <w:gridCol w:w="1295"/>
        <w:gridCol w:w="60"/>
        <w:gridCol w:w="60"/>
        <w:gridCol w:w="560"/>
        <w:gridCol w:w="215"/>
        <w:gridCol w:w="60"/>
        <w:gridCol w:w="60"/>
        <w:gridCol w:w="560"/>
        <w:gridCol w:w="215"/>
        <w:gridCol w:w="60"/>
        <w:gridCol w:w="60"/>
        <w:gridCol w:w="560"/>
        <w:gridCol w:w="215"/>
      </w:tblGrid>
      <w:tr>
        <w:trPr/>
        <w:tc>
          <w:tcPr>
            <w:tcW w:w="1295" w:type="dxa"/>
            <w:tcBorders/>
            <w:vAlign w:val="bottom"/>
          </w:tcPr>
          <w:p>
            <w:pPr>
              <w:pStyle w:val="TableContents"/>
              <w:bidi w:val="0"/>
              <w:spacing w:before="0" w:after="0"/>
              <w:ind w:left="360" w:right="0" w:hanging="360"/>
              <w:jc w:val="left"/>
              <w:rPr/>
            </w:pPr>
            <w:r>
              <w:rPr/>
              <w:t> </w:t>
            </w:r>
          </w:p>
        </w:tc>
        <w:tc>
          <w:tcPr>
            <w:tcW w:w="60" w:type="dxa"/>
            <w:tcBorders/>
            <w:vAlign w:val="bottom"/>
          </w:tcPr>
          <w:p>
            <w:pPr>
              <w:pStyle w:val="TableContents"/>
              <w:bidi w:val="0"/>
              <w:spacing w:before="0" w:after="283"/>
              <w:jc w:val="left"/>
              <w:rPr/>
            </w:pPr>
            <w:r>
              <w:rPr/>
              <w:t> </w:t>
            </w:r>
          </w:p>
        </w:tc>
        <w:tc>
          <w:tcPr>
            <w:tcW w:w="241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Percentage of Net Sales</w:t>
            </w:r>
          </w:p>
        </w:tc>
        <w:tc>
          <w:tcPr>
            <w:tcW w:w="215"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0"/>
              <w:ind w:left="360" w:right="0" w:hanging="360"/>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215"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ind w:left="360" w:right="0" w:hanging="360"/>
              <w:jc w:val="left"/>
              <w:rPr>
                <w:color w:val="000000"/>
              </w:rPr>
            </w:pPr>
            <w:r>
              <w:rPr>
                <w:color w:val="000000"/>
              </w:rPr>
              <w:t>Consumables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23.8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21.6</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19.8</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295" w:type="dxa"/>
            <w:tcBorders/>
            <w:vAlign w:val="bottom"/>
          </w:tcPr>
          <w:p>
            <w:pPr>
              <w:pStyle w:val="TableContents"/>
              <w:bidi w:val="0"/>
              <w:spacing w:before="0" w:after="0"/>
              <w:ind w:left="360" w:right="0" w:hanging="360"/>
              <w:jc w:val="left"/>
              <w:rPr>
                <w:color w:val="000000"/>
              </w:rPr>
            </w:pPr>
            <w:r>
              <w:rPr>
                <w:color w:val="000000"/>
              </w:rPr>
              <w:t>Home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35.7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38.3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39.8</w:t>
            </w:r>
          </w:p>
        </w:tc>
        <w:tc>
          <w:tcPr>
            <w:tcW w:w="215" w:type="dxa"/>
            <w:tcBorders/>
            <w:vAlign w:val="bottom"/>
          </w:tcPr>
          <w:p>
            <w:pPr>
              <w:pStyle w:val="TableContents"/>
              <w:bidi w:val="0"/>
              <w:spacing w:before="0" w:after="0"/>
              <w:jc w:val="left"/>
              <w:rPr>
                <w:color w:val="000000"/>
              </w:rPr>
            </w:pPr>
            <w:r>
              <w:rPr>
                <w:color w:val="000000"/>
              </w:rPr>
              <w:t>%</w:t>
            </w:r>
          </w:p>
        </w:tc>
      </w:tr>
      <w:tr>
        <w:trPr/>
        <w:tc>
          <w:tcPr>
            <w:tcW w:w="1295" w:type="dxa"/>
            <w:tcBorders/>
            <w:shd w:fill="CCEEFF" w:val="clear"/>
            <w:vAlign w:val="bottom"/>
          </w:tcPr>
          <w:p>
            <w:pPr>
              <w:pStyle w:val="TableContents"/>
              <w:bidi w:val="0"/>
              <w:spacing w:before="0" w:after="0"/>
              <w:ind w:left="360" w:right="0" w:hanging="360"/>
              <w:jc w:val="left"/>
              <w:rPr>
                <w:color w:val="000000"/>
              </w:rPr>
            </w:pPr>
            <w:r>
              <w:rPr>
                <w:color w:val="000000"/>
              </w:rPr>
              <w:t>Seasonal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18.7</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17.8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18.1</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295" w:type="dxa"/>
            <w:tcBorders/>
            <w:vAlign w:val="bottom"/>
          </w:tcPr>
          <w:p>
            <w:pPr>
              <w:pStyle w:val="TableContents"/>
              <w:bidi w:val="0"/>
              <w:spacing w:before="0" w:after="0"/>
              <w:ind w:left="360" w:right="0" w:hanging="360"/>
              <w:jc w:val="left"/>
              <w:rPr>
                <w:color w:val="000000"/>
              </w:rPr>
            </w:pPr>
            <w:r>
              <w:rPr>
                <w:color w:val="000000"/>
              </w:rPr>
              <w:t>Other</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21.8</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22.3</w:t>
            </w:r>
          </w:p>
        </w:tc>
        <w:tc>
          <w:tcPr>
            <w:tcW w:w="215" w:type="dxa"/>
            <w:tcBorders/>
            <w:vAlign w:val="bottom"/>
          </w:tcPr>
          <w:p>
            <w:pPr>
              <w:pStyle w:val="TableContents"/>
              <w:bidi w:val="0"/>
              <w:spacing w:before="0" w:after="0"/>
              <w:jc w:val="left"/>
              <w:rPr>
                <w:color w:val="000000"/>
              </w:rPr>
            </w:pPr>
            <w:r>
              <w:rPr>
                <w:color w:val="000000"/>
              </w:rPr>
              <w:t>%</w:t>
            </w:r>
          </w:p>
        </w:tc>
      </w:tr>
      <w:tr>
        <w:trPr/>
        <w:tc>
          <w:tcPr>
            <w:tcW w:w="1295" w:type="dxa"/>
            <w:tcBorders/>
            <w:shd w:fill="CCEEFF" w:val="clear"/>
            <w:vAlign w:val="bottom"/>
          </w:tcPr>
          <w:p>
            <w:pPr>
              <w:pStyle w:val="TableContents"/>
              <w:bidi w:val="0"/>
              <w:spacing w:before="0" w:after="0"/>
              <w:ind w:left="540" w:right="0" w:hanging="360"/>
              <w:jc w:val="left"/>
              <w:rPr>
                <w:b/>
                <w:color w:val="000000"/>
              </w:rPr>
            </w:pPr>
            <w:r>
              <w:rPr>
                <w:b/>
                <w:color w:val="000000"/>
              </w:rPr>
              <w:t>Total</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Consumables</w:t>
      </w:r>
      <w:r>
        <w:rPr>
          <w:rFonts w:ascii="Times New Roman" w:hAnsi="Times New Roman"/>
          <w:color w:val="000000"/>
          <w:sz w:val="20"/>
          <w:shd w:fill="FFFFFF" w:val="clear"/>
        </w:rPr>
        <w:t xml:space="preserve"> includes items such as health and beauty aids, food, candy, and pet food. </w:t>
      </w:r>
      <w:r>
        <w:rPr>
          <w:rFonts w:ascii="Times New Roman" w:hAnsi="Times New Roman"/>
          <w:i/>
          <w:color w:val="000000"/>
          <w:sz w:val="20"/>
          <w:shd w:fill="FFFFFF" w:val="clear"/>
        </w:rPr>
        <w:t>Home</w:t>
      </w:r>
      <w:r>
        <w:rPr>
          <w:rFonts w:ascii="Times New Roman" w:hAnsi="Times New Roman"/>
          <w:color w:val="000000"/>
          <w:sz w:val="20"/>
          <w:shd w:fill="FFFFFF" w:val="clear"/>
        </w:rPr>
        <w:t xml:space="preserve"> includes items such as housewares, domestics, floor coverings, and hardware. </w:t>
      </w:r>
      <w:r>
        <w:rPr>
          <w:rFonts w:ascii="Times New Roman" w:hAnsi="Times New Roman"/>
          <w:i/>
          <w:color w:val="000000"/>
          <w:sz w:val="20"/>
          <w:shd w:fill="FFFFFF" w:val="clear"/>
        </w:rPr>
        <w:t>Seasonal</w:t>
      </w:r>
      <w:r>
        <w:rPr>
          <w:rFonts w:ascii="Times New Roman" w:hAnsi="Times New Roman"/>
          <w:color w:val="000000"/>
          <w:sz w:val="20"/>
          <w:shd w:fill="FFFFFF" w:val="clear"/>
        </w:rPr>
        <w:t xml:space="preserve"> includes items such as summer furniture, air conditioners, fans and space heaters, toys, and lawn &amp; garden. </w:t>
      </w:r>
      <w:r>
        <w:rPr>
          <w:rFonts w:ascii="Times New Roman" w:hAnsi="Times New Roman"/>
          <w:i/>
          <w:color w:val="000000"/>
          <w:sz w:val="20"/>
          <w:shd w:fill="FFFFFF" w:val="clear"/>
        </w:rPr>
        <w:t>Other</w:t>
      </w:r>
      <w:r>
        <w:rPr>
          <w:rFonts w:ascii="Times New Roman" w:hAnsi="Times New Roman"/>
          <w:color w:val="000000"/>
          <w:sz w:val="20"/>
          <w:shd w:fill="FFFFFF" w:val="clear"/>
        </w:rPr>
        <w:t xml:space="preserve"> includes items such as books and stationery, electronics, clothing, sporting goods, pet products, luggage, and automotive.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Product categories</w:t>
      </w:r>
    </w:p>
    <w:p>
      <w:pPr>
        <w:pStyle w:val="TextBody"/>
        <w:bidi w:val="0"/>
        <w:spacing w:before="0" w:after="0"/>
        <w:jc w:val="both"/>
        <w:rPr>
          <w:b/>
          <w:i/>
          <w:color w:val="000000"/>
        </w:rPr>
      </w:pPr>
      <w:r>
        <w:rPr>
          <w:b/>
          <w:i/>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consistent average margins across our primary product categories described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Brand name closeout merchandise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Brand name closeout merchandise represented approximately 65% of the retail value of our 2023 merchandise purchases.  Our focus is to provide huge savings to our customers primarily through brand name products across a broad range of merchandise. Our experienced merchant team purchases deeply discounted, branded or closeout merchandise primarily from manufacturers, retailers, distributors, and brokers. This merchandise includes overstocks, discontinued merchandise, package changes, cancelled orders, excess inventory and buybacks from retailers, and major manufacturers.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Non-closeout goods/private label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Non-closeout and private label products collectively represented approximately 35% of the retail value of our 2023 merchandise purchases.  We augment the breadth of our brand name merchandise with non-closeout and private label merchandise. In categories where the consumer is not as brand conscious, such as food, home textiles, and furniture, or when we may not be offering a current brand name merchandise deal, we will buy deeply discounted unbranded merchandise. These extreme value offerings are mixed in the stores with our brand name merchandise. We also have a variety of domestic and direct-import private label merchandise and exclusive products sold under numerous brands. These high-quality products are developed in key categories such as housewares and are designed to create brand-like excitement and complement our brand name merchandise. We also have licenses for private label products that use recognizable celebrity names or brand names. We routinely evaluate the quality and condition of these private label goods to ensure that we are delivering our customer a high-quality product at a great price.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Merchandise procurement and distribution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disciplined buying strategy and strict adherence to purchasing margins support our merchandising strategy of buying cheap to sell cheap.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Merchandising team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merchant team maintains strong, long-standing relationships with a diverse group of suppliers, allowing us to procure branded merchandise at compelling values for our customers.  Our merchants specialize by department in order to build category expertise, in-depth knowledge and sourcing relationships. We believe our buying approach, coupled with long-standing and newly formed relationships, enable us to find the best deals from major manufacturers and pass drastically reduced prices along to our customers. We plan to further invest in and grow our merchandising team in order to expand and enhance our sourcing relationships and product categories, which we expect will drive shopping frequency and increase customer spending.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Merchandise procurement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our strong sourcing capabilities are the result of our tenured merchant team’s ability to leverage deep, long-standing relationships with hundreds of manufacturers, wholesalers, brokers, retailers, and other suppliers. Our merchants maintain direct relationships with brand manufacturers, regularly attend major tradeshows and travel the world to source extreme value offerings across a broad assortment of product categories. We are an ideal partner to major manufacturers because our merchants are experienced and empowered to make quick decisions. Each opportunity is unique, and our merchants negotiate directly with the supplier to lock in a particular deal. Our ability to select the most attractive opportunistic purchases from a growing number of available deals enables us to provide a wide assortment of goods to our customers at great bargain prices.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source from over 1,100 suppliers. Our dedication to building strong relationships with suppliers is evidenced by an average relationship of over 15-years with our top 15 suppliers. As we continue to grow, we believe our increased scale will provide us with even greater access to brand name products since many major manufacturers seek a single buyer to acquire the entire deal.</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Distribution and logistics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made significant investments in our distribution network and personnel to support our store growth plan. Our stores generally receive shipments from our distribution centers one to two times a week, depending on the season and specific store size and sales volume. We utilize independent third party freight carriers.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color w:val="000000"/>
          <w:shd w:fill="FFFFFF" w:val="clear"/>
        </w:rPr>
      </w:pPr>
      <w:r>
        <w:rPr>
          <w:color w:val="000000"/>
          <w:shd w:fill="FFFFFF" w:val="clear"/>
        </w:rPr>
        <w:t> </w:t>
      </w:r>
      <w:r>
        <w:rPr>
          <w:rFonts w:ascii="Times New Roman" w:hAnsi="Times New Roman"/>
          <w:color w:val="000000"/>
          <w:sz w:val="20"/>
          <w:shd w:fill="FFFFFF" w:val="clear"/>
        </w:rPr>
        <w:t>Currently, we distribute approximately 95% of our merchandise from our distribution centers in York, PA, which completed a 201,000 square feet expansion in the beginning of fiscal 2023 (804,000 square feet), Commerce, GA (962,000 square feet), and Lancaster, TX (615,000 square feet).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first quarter of fiscal 2023, the Company purchased a parcel of land in Princeton, Illinois for its fourth distribution center and broke ground on construction of the 615,000 square feet facility in April 2023, the distribution center is expected to be operational in the second half of fiscal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With the expansion of our York, PA distribution center and the addition of our fourth distribution center, we believe our distribution capabilities will support up to 750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February 3, 2024, we operated 512 stores, averaging approximately 33,000 square feet, across 30 contiguous states in the eastern half of the United States. Our highly flexible real estate approach has proven successful across all vintages, geographic regions, population densities, demographic groups, real estate formats and regardless of any co-tenant. Our business model has resulted in positive financial performance during strong and weak economic cycles. We have successfully opened stores in five new states since 2019, highlighting the portability of our new store model.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fiscal 2022, the Company implemented an ongoing store improvement initiative to provide our customers with an updated shopping experience, which showcases our tremendous value and the amazing deals we offer in an organized and easy to navigate store format. We have remodeled 56 stores to date and 35 stores in fiscal 2023 and continue to see a sales uplift in newly remodeled locations.  With a relatively low upfront investment, our remodels have produced on average a payback period of approximately two years.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map shows the number of stores in each of the states in which we operated as of February 3,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color w:val="000000"/>
          <w:shd w:fill="FFFFFF" w:val="clear"/>
        </w:rPr>
      </w:pPr>
      <w:r>
        <w:rPr>
          <w:color w:val="000000"/>
          <w:shd w:fill="FFFFFF" w:val="clear"/>
        </w:rPr>
        <w:t> </w:t>
      </w:r>
      <w:r>
        <w:rPr>
          <w:color w:val="000000"/>
          <w:shd w:fill="FFFFFF" w:val="clear"/>
        </w:rPr>
        <w:drawing>
          <wp:inline distT="0" distB="0" distL="0" distR="0">
            <wp:extent cx="5562600" cy="3695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62600" cy="3695700"/>
                    </a:xfrm>
                    <a:prstGeom prst="rect">
                      <a:avLst/>
                    </a:prstGeom>
                  </pic:spPr>
                </pic:pic>
              </a:graphicData>
            </a:graphic>
          </wp:inline>
        </w:drawing>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Store design and layout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of our warehouse format stores incorporate the same philosophy: no-frills, bright, “semi-lovely” stores and a fun, treasure hunt shopping experience. We present our stores as “semi-lovely” to differentiate our stores from other traditional retailers, and to minimize operating and build-out costs. Our stores also welcome our customers with vibrant and colorful caricatures together with witty signage. We attempt to make our customers laugh as we poke fun at ourselves and current events. We believe that by disarming our customers by getting them to giggle a bit, they are able to look at and trust our products for what they are—extremely great bargains.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the store layout and merchandising strategy help to encourage a “shop now” sense of urgency and increase frequency of customer visits as customers never know what they might come across in our stores. We make it easy for our customers to browse our stores by displaying our frequently changing assortment of products on rolling tables, pallets and other display fixtures. Our store team leaders are responsible for maintaining our treasure hunt shopping experience, keeping the stores clean and well-lit and ensuring our customers are engaged.  We believe our humorous brand image, compelling values and welcoming stores resonate with our customers and define Ollie’s as a unique and comfortable destination shopping location.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Expansion opportunities and site selection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we can profitably expand our store count on a national scale to more than 1,300 locations based on internal estimates and third party research conducted by Hoffman Strategy Group. Our disciplined real estate strategy focuses on infilling existing geographies as well as expanding into contiguous markets in order to leverage our distribution infrastructure, field management team, store management, marketing investments and brand awareness.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a pipeline of real estate sites that have been approved by our real estate committee. Our recent store growth is summarized in the following table:</w:t>
      </w:r>
    </w:p>
    <w:p>
      <w:pPr>
        <w:pStyle w:val="TextBody"/>
        <w:bidi w:val="0"/>
        <w:spacing w:before="0" w:after="0"/>
        <w:jc w:val="left"/>
        <w:rPr>
          <w:color w:val="000000"/>
          <w:shd w:fill="FFFFFF" w:val="clear"/>
        </w:rPr>
      </w:pPr>
      <w:r>
        <w:rPr>
          <w:color w:val="000000"/>
          <w:shd w:fill="FFFFFF" w:val="clear"/>
        </w:rPr>
        <w:t> </w:t>
      </w:r>
    </w:p>
    <w:tbl>
      <w:tblPr>
        <w:tblW w:w="5075" w:type="dxa"/>
        <w:jc w:val="left"/>
        <w:tblInd w:w="0" w:type="dxa"/>
        <w:tblLayout w:type="fixed"/>
        <w:tblCellMar>
          <w:top w:w="0" w:type="dxa"/>
          <w:left w:w="0" w:type="dxa"/>
          <w:bottom w:w="0" w:type="dxa"/>
          <w:right w:w="0" w:type="dxa"/>
        </w:tblCellMar>
      </w:tblPr>
      <w:tblGrid>
        <w:gridCol w:w="3095"/>
        <w:gridCol w:w="60"/>
        <w:gridCol w:w="68"/>
        <w:gridCol w:w="432"/>
        <w:gridCol w:w="95"/>
        <w:gridCol w:w="60"/>
        <w:gridCol w:w="68"/>
        <w:gridCol w:w="432"/>
        <w:gridCol w:w="95"/>
        <w:gridCol w:w="60"/>
        <w:gridCol w:w="68"/>
        <w:gridCol w:w="432"/>
        <w:gridCol w:w="110"/>
      </w:tblGrid>
      <w:tr>
        <w:trPr/>
        <w:tc>
          <w:tcPr>
            <w:tcW w:w="309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110"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180" w:right="0" w:hanging="180"/>
              <w:jc w:val="left"/>
              <w:rPr>
                <w:color w:val="000000"/>
              </w:rPr>
            </w:pPr>
            <w:r>
              <w:rPr>
                <w:color w:val="000000"/>
              </w:rPr>
              <w:t>Stores open at beginning of year</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0"/>
              <w:jc w:val="right"/>
              <w:rPr>
                <w:color w:val="000000"/>
              </w:rPr>
            </w:pPr>
            <w:r>
              <w:rPr>
                <w:color w:val="000000"/>
              </w:rPr>
              <w:t>468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0"/>
              <w:jc w:val="right"/>
              <w:rPr>
                <w:color w:val="000000"/>
              </w:rPr>
            </w:pPr>
            <w:r>
              <w:rPr>
                <w:color w:val="000000"/>
              </w:rPr>
              <w:t>431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0"/>
              <w:jc w:val="right"/>
              <w:rPr>
                <w:color w:val="000000"/>
              </w:rPr>
            </w:pPr>
            <w:r>
              <w:rPr>
                <w:color w:val="000000"/>
              </w:rPr>
              <w:t>388</w:t>
            </w:r>
          </w:p>
        </w:tc>
        <w:tc>
          <w:tcPr>
            <w:tcW w:w="110"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180" w:right="0" w:hanging="180"/>
              <w:jc w:val="left"/>
              <w:rPr>
                <w:color w:val="000000"/>
              </w:rPr>
            </w:pPr>
            <w:r>
              <w:rPr>
                <w:color w:val="000000"/>
              </w:rPr>
              <w:t>Stores opened</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0"/>
              <w:jc w:val="right"/>
              <w:rPr>
                <w:color w:val="000000"/>
              </w:rPr>
            </w:pPr>
            <w:r>
              <w:rPr>
                <w:color w:val="000000"/>
              </w:rPr>
              <w:t>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0"/>
              <w:jc w:val="right"/>
              <w:rPr>
                <w:color w:val="000000"/>
              </w:rPr>
            </w:pPr>
            <w:r>
              <w:rPr>
                <w:color w:val="000000"/>
              </w:rPr>
              <w:t>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0"/>
              <w:jc w:val="right"/>
              <w:rPr>
                <w:color w:val="000000"/>
              </w:rPr>
            </w:pPr>
            <w:r>
              <w:rPr>
                <w:color w:val="000000"/>
              </w:rPr>
              <w:t>46</w:t>
            </w:r>
          </w:p>
        </w:tc>
        <w:tc>
          <w:tcPr>
            <w:tcW w:w="110"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180" w:right="0" w:hanging="180"/>
              <w:jc w:val="left"/>
              <w:rPr>
                <w:color w:val="000000"/>
              </w:rPr>
            </w:pPr>
            <w:r>
              <w:rPr>
                <w:color w:val="000000"/>
              </w:rPr>
              <w:t>Stores closed</w:t>
            </w:r>
          </w:p>
        </w:tc>
        <w:tc>
          <w:tcPr>
            <w:tcW w:w="60" w:type="dxa"/>
            <w:tcBorders/>
            <w:shd w:fill="CCEEFF" w:val="clear"/>
            <w:vAlign w:val="bottom"/>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3095" w:type="dxa"/>
            <w:tcBorders/>
            <w:vAlign w:val="bottom"/>
          </w:tcPr>
          <w:p>
            <w:pPr>
              <w:pStyle w:val="TableContents"/>
              <w:bidi w:val="0"/>
              <w:spacing w:before="0" w:after="0"/>
              <w:ind w:left="180" w:right="0" w:hanging="180"/>
              <w:jc w:val="left"/>
              <w:rPr>
                <w:color w:val="000000"/>
              </w:rPr>
            </w:pPr>
            <w:r>
              <w:rPr>
                <w:color w:val="000000"/>
              </w:rPr>
              <w:t>Stores open at end of year</w:t>
            </w:r>
          </w:p>
        </w:tc>
        <w:tc>
          <w:tcPr>
            <w:tcW w:w="60"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43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43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bottom w:val="double" w:sz="8" w:space="0" w:color="000000"/>
            </w:tcBorders>
            <w:tcMar>
              <w:bottom w:w="28" w:type="dxa"/>
            </w:tcMar>
            <w:vAlign w:val="bottom"/>
          </w:tcPr>
          <w:p>
            <w:pPr>
              <w:pStyle w:val="TableContents"/>
              <w:bidi w:val="0"/>
              <w:spacing w:before="0" w:after="283"/>
              <w:jc w:val="left"/>
              <w:rPr/>
            </w:pPr>
            <w:r>
              <w:rPr/>
              <w:t> </w:t>
            </w:r>
          </w:p>
        </w:tc>
        <w:tc>
          <w:tcPr>
            <w:tcW w:w="43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431</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utilize a rigorous site selection and real estate approval process in order to leverage our infrastructure, marketing investments and brand awareness. Members of our real estate team spend considerable time evaluating prospective sites before bringing a new lease proposal to our real estate committee, which is comprised of senior management and executive officers. Our flexible store layout allows us to quickly take over a variety of low-cost, second-generation sites, including former big box retail and grocery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there is an ample supply of suitable low-cost, second-generation real estate allowing us to infill within our existing markets as well as to expand into new, contiguous geographies. By focusing on key characteristics such as proximity to the nearest Ollie’s store, ability to leverage distribution infrastructure, visibility, traffic counts, population densities of at least 40,000 people within ten miles and low rent per square foot, we have developed a new store real estate model that has consistently delivered attractive returns on invested capital.</w:t>
      </w:r>
    </w:p>
    <w:p>
      <w:pPr>
        <w:pStyle w:val="TextBody"/>
        <w:bidi w:val="0"/>
        <w:spacing w:before="0" w:after="0"/>
        <w:jc w:val="left"/>
        <w:rPr>
          <w:color w:val="000000"/>
          <w:shd w:fill="FFFFFF" w:val="clear"/>
        </w:rPr>
      </w:pPr>
      <w:r>
        <w:rPr>
          <w:color w:val="000000"/>
          <w:shd w:fill="FFFFFF" w:val="clear"/>
        </w:rPr>
        <w:t> </w:t>
      </w:r>
    </w:p>
    <w:p>
      <w:pPr>
        <w:pStyle w:val="TextBody"/>
        <w:bidi w:val="0"/>
        <w:spacing w:lineRule="auto" w:line="240"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strong unit growth is supported by our predictable and compelling new store model. We target a store size between 25,000 to 35,000 square feet and an average initial cash investment of approximately $1.0 million,  which includes store fixtures and equipment, store-level and distribution center inventory (net of payables) and pre-opening expenses. With our relatively low investment costs and strong new store opening performance, we target first-year annual new store sales of approximately $4.0 million.  New stores have consistently opened strong, with higher net sales in their first 12 months of operations, than average existing stores due to brand excitement surrounding grand openings and produced an average payback period of approximately two years. We believe that our consistent store performance, corporate infrastructure, including our distribution centers, and disciplined approach to site selection support the portability and predictability of our new unit growth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Store-level management and training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Vice President of Store Operations oversees all store activities. Our stores are grouped into five regions, divided generally along geographic lines. We employ regional directors, who have responsibility for the day-to-day operations of the stores in their region. Reporting to the regional directors are district team leaders and market team leaders who each manage a group of stores in their markets. At the store level, the leadership team consists of a store team leader and potentially a co-team leader and/or an assistant team leader, who supervise the full and part-time associated within the store.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Each store team leader is responsible for the daily operations of the store, including the processing of merchandise to the sales floor and the presentation of goods throughout the store. Store team leaders are trained to maintain a clean and appealing store environment for our customers. Store team leaders and co-team leaders are also responsible for the hiring, training, and development of associates.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work tirelessly to hire talented people, to improve our ability to assess talent during the interview process and to regularly train those individuals at Ollie’s who are responsible for interviewing candidates. We also devote substantial resources to training our new managers through our Team Leader Training Program. This program operates at designated training stores located across our footprint. It provides an in-depth review of our operations, including merchandising, policies and procedures, asset protection and safety, and human resources. Part-time associates receive structured training as part of their onboarding.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additional information on store-level management training and initiatives by the Company, see the discussion of Human Capital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Marketing and advertising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marketing and advertising campaigns feature colorful caricatures and witty sayings in order to make our customers laugh. We believe that by disarming our customers by getting them to giggle a bit, they are able to look at and trust our products for what they are—extremely great bargains. Our distinctive and often self-deprecating humor and highly recognizable caricatures are used in all of our stores, flyers and advertising campaigns.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tailor our marketing mix and strategy for each market, deal or promotion. We primarily use the following forms of marketing and advertising: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pPr>
            <w:r>
              <w:rPr>
                <w:i/>
                <w:color w:val="000000"/>
              </w:rPr>
              <w:t>Print and direct mail</w:t>
            </w:r>
            <w:r>
              <w:rPr>
                <w:color w:val="000000"/>
              </w:rPr>
              <w:t>: During 2023, we distributed over 650 million highly recognizable flyers.</w:t>
            </w:r>
            <w:r>
              <w:rPr/>
              <w:t xml:space="preserve"> Our flyers are typically distributed semi-monthly, for a total of 22 times per year, with increased frequency in peak shopping periods, and serve as the foundation of our marketing strategy to remain top of mind with our shoppers. They</w:t>
            </w:r>
            <w:r>
              <w:rPr>
                <w:color w:val="000000"/>
              </w:rPr>
              <w:t xml:space="preserve"> highlight current deals to create shopping urgency and drive traffic and increase frequency of store visits;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pPr>
            <w:r>
              <w:rPr>
                <w:i/>
                <w:color w:val="000000"/>
              </w:rPr>
              <w:t>Television and radio</w:t>
            </w:r>
            <w:r>
              <w:rPr>
                <w:color w:val="000000"/>
              </w:rPr>
              <w:t>: We selectively utilize creative television/</w:t>
            </w:r>
            <w:r>
              <w:rPr/>
              <w:t>o</w:t>
            </w:r>
            <w:r>
              <w:rPr>
                <w:color w:val="000000"/>
              </w:rPr>
              <w:t>ver the top television (“OTT”) and radio advertising campaigns in targeted markets throughout the year, to create brand awareness and support new store openings;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Charity and community events</w:t>
            </w:r>
            <w:r>
              <w:rPr>
                <w:color w:val="000000"/>
              </w:rPr>
              <w:t>: We are dedicated to maintaining a visible presence in the communities in which our stores are located through the sponsorship of charitable organizations such as Feeding America, Toys for Tots, Children’s Miracle Network, and the Cal Ripken, Sr. Foundation. We believe supporting these organizations promotes our brand, underscores our values and builds a sense of community;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color w:val="000000"/>
              </w:rPr>
            </w:pPr>
            <w:r>
              <w:rPr>
                <w:i/>
                <w:color w:val="000000"/>
              </w:rPr>
              <w:t>Digital marketing and social media</w:t>
            </w:r>
            <w:r>
              <w:rPr>
                <w:color w:val="000000"/>
              </w:rPr>
              <w:t>: We maintain an active online presence and promote our brand through our website, our mobile app, and digital and social media platforms, including influencers across TikTok, Instagram, YouTube and Facebook. We also utilize targeted email marketing to highlight our latest brand name offerings and drive traffic to our stores.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Ollie’s Army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customer loyalty program, Ollie’s Army, stands at 14.0 million members as of February 3, 2024, an increase of 5.9% from 2022. In 2023, Ollie’s Army members accounted for over 82% of net sales and spent approximately 40% more per shopping trip, on average, than non-members.  Consistent with our marketing strategy, we engage new and existing Ollie’s Army members through the use of witty phrases and signage; examples include “Enlist in Ollie’s Army today,” “become one of the few, the cheap, the proud” and “Ollie’s Army Boot Camp…all enlistees will receive 15% off their next purchase.” Throughout the year, for every $250 Ollie’s Army members spend, they receive a coupon for 10% off their next entire purchase.  Ollie’s Army ‘ranks’ are another savings opportunity for members.  For the first $250 and $500 members spend in a calendar year, they receive a coupon for 20% and 30% off of one item, respectively.  Historically, Ollie’s Army members have demonstrated high redemption rates for promotional activities exclusive to Ollie’s Army members, such as our Valentine’s, Boot Camp, and 15% off holiday mailers. In addition, Ollie’s Army members have historically enthusiastically responded to Ollie’s Army Night, an annual one-day after-hours sale in December exclusively for members.  We expect to continue leveraging the data gathered from our proprietary database of Ollie’s Army members to better segment and target our marketing initiatives and increase shopping frequency.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Competition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compete with a diverse group of retailers, including discount, closeout, mass merchant, department, grocery, drug, convenience, hardware, variety, online, and other specialty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principal basis on which we compete against other retailers is by offering an ever-changing selection of brand name products at compelling price points in an exciting shopping environment. Accordingly, we compete against a fragmented group of retailers, wholesalers, and jobbers to acquire merchandise for sale in our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established relationships with our suppliers, coupled with our scale, associated buying power, financial credibility and responsiveness, often makes Ollie’s the first call for available deals. Our direct relationships with suppliers have increased as we have grown, and we continuously strive to broaden our supplier network.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Trademarks and other intellectual property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own multiple state and federally registered trademarks related to our brand, including “Ollie’s,” “Ollie’s Bargain Outlet,” “Good Stuff Cheap,” “Ollie’s Army,” “Real Brands Real Cheap!,” and “Real Brands! Real Bargains!,” among others. In addition, we maintain a federal trademark for the image of Ollie, the face of our company. We also own registered trademarks for many of our private labels such as “Sarasota Breeze,” “Steelton Tools,” “American Way,” and “Middleton Home,” among others.  We routinely prosecute trademarks where appropriate, both for private label goods and to further identify our goods and services. We enter into trademark license agreements as necessary, which may include our private label offerings, such as the Magnavox products available in our stores. Our trademark registrations have various expiration dates; however, assuming that the trademark registrations are properly renewed, they have a perpetual duration. We also own several domain names, including </w:t>
      </w:r>
      <w:r>
        <w:rPr>
          <w:rFonts w:ascii="Times New Roman" w:hAnsi="Times New Roman"/>
          <w:i/>
          <w:color w:val="000000"/>
          <w:sz w:val="20"/>
          <w:shd w:fill="FFFFFF" w:val="clear"/>
        </w:rPr>
        <w:t>www.ollies.us, www.ollies.com, www.olliesbargainoutlet.com, www.olliesarmy.com, www.ollies.cheap, www.sarasotabreeze.com and www.olliesmail.com</w:t>
      </w:r>
      <w:r>
        <w:rPr>
          <w:rFonts w:ascii="Times New Roman" w:hAnsi="Times New Roman"/>
          <w:color w:val="000000"/>
          <w:sz w:val="20"/>
          <w:shd w:fill="FFFFFF" w:val="clear"/>
        </w:rPr>
        <w:t>, and unregistered copyrights in our website content. We attempt to obtain registration of our trademarks and other intellectual property as practical and pursue infringement of those marks when appropriate.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Technology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management information systems provide a full range of business process assistance and timely information to support our merchandising team and strategy, management of multiple distribution centers, stores and operations, and financial reporting. We believe our current systems provide us with operational efficiencies, scalability, management control, and timely reporting that allow us to identify and respond to merchandising and operating trends in our business. We use a combination of internal and external resources to support store point-of-sale, merchandise acquisition and distribution, inventory management, financial reporting, real estate, and administrative functions. We continuously assess ways to maximize productivity and efficiency, as well as evaluate opportunities to further enhance our existing systems. Our existing systems are scalable to support future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Government regulation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state and federal laws including labor and employment laws, including minimum wage requirements and wage and hour laws, laws governing advertising, privacy laws, safety regulations, environmental laws and regulations, and other laws, including consumer protection regulations that regulate retailers and/or govern product standards, the promotion and sale of merchandise and the operation of stores and warehouse facilities. We monitor changes in these laws and believe that we are in material compliance with all applicable laws.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source a portion of our products from outside the United States. The U.S. Foreign Corrupt Practices Act and other similar anti-bribery and anti-kickback laws and regulations generally prohibit companies and their intermediaries from making improper payments to non-U.S. officials for the purpose of obtaining or retaining business. Our policies and our vendor code of conduct mandate compliance with applicable law, including these laws and regulations.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Human Capital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Attracting, developing, and retaining quality talent is key to our growth, and our success depends on cultivating an engaged and motivated workforce.  We work hard to create an environment where Ollie’s team members can build fulfilling careers and we take pride in providing opportunities for growth and development.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seek to build a diverse and inclusive workplace where we can leverage our collective talents, striving to ensure that all associates are treated with dignity and respect.  We believe that a workforce with a diversity of viewpoints, background, experience and industry knowledge, as well as more traditional characteristics of diversity, such as race and gender, are key to our culture and long-term success.  We are committed to providing equal employment opportunities and advancement consideration to all individuals based on job-related qualifications and ability to perform the job as well as maintaining an environment that is free of intimidation or harassment.  We value the talents and contributions of our associates and by focusing on our team members we know that the entire Ollie’s community will be well served.</w:t>
      </w:r>
    </w:p>
    <w:p>
      <w:pPr>
        <w:pStyle w:val="TextBody"/>
        <w:bidi w:val="0"/>
        <w:spacing w:before="0" w:after="0"/>
        <w:jc w:val="both"/>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Oversight and Management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Human Resources department manages all associate matters, including recruiting, hiring, compensation and benefits, performance management, and associate training. In addition, our management team works closely with the Human Resources department to evaluate associate management issues such as retention and workplace safety. As we strive to retain and engage talent at all levels of our business, our Human Resources department also reviews our retention and turnover rates and administers our talent and training programs and review process to support the development of our talent pipeline.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Associates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February 3, 2024, we employed over 11,500 associates, approximately 5,500 of whom were full-time and approximately 6,000 of whom were part-time. Of our total associate base, approximately 1,100 were based at our store support center and distribution centers, and the remaining were store and field associates. The number of associates in a fiscal year fluctuates depending on the business needs at different times of the year. As of February 3, 2024, approximately 60% of our workforce is self-identified female and approximately 40% is self-identified male. Over 40% of our workforce has self-identified as having a racial or ethnic minority background.  None of our associates belong to a union or are party to any collective bargaining or similar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Associate Training and Development Programs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offer a compelling work environment with meaningful growth and career-development opportunities. This starts with the opportunity to do challenging work and learn on the job and is supplemented by programs and continuous learning that help our team build skills to advance.  We encourage a “promote-from-within” environment when internal resources permit.  We also provide internal leadership development programs designed to prepare our high-potential team members for greater responsibility. We believe internal promotions, coupled with the hiring of individuals with previous retail experience, will provide the management structure necessary to support our long-term strategic growth initiatives.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Ollie’s Leadership Institute (“OLI”) is a program that is used to equip field associates with the ability to advance their career. Each OLI participant receives an individual development plan, designed to prepare them for their next level position. Reflecting our belief in our “home grown” talent, OLI is our preferred source for new supervisors and team leaders.  In 2023, over 45% of our current district team leaders were internally promoted to their position.  Company-wide, over 60% of our field positions were filled by internal promotions. We believe our training and development programs help create a positive work environment and result in stores that operate at a high level.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Compensation and Benefits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committed to providing market-competitive compensation for all positions. Eligible team members participate in one of our various bonus incentive programs, which provide the opportunity to receive additional compensation based upon store and/or Company performance. In addition, we provide our eligible team members the opportunity to participate in a 401(k) retirement savings plan with a Company-sponsored match. We also share in the cost of health insurance provided to eligible team members, and team members receive a discount on merchandise purchased from the Company. We additionally provide our team members with paid time off.</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Workplace Health and Safety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Maintaining a safe and secure work environment is very important to us and we conduct our business in an environmentally sound manner based on customer needs and local requirements.   To further promote a safe work environment, we have established safety training programs. This includes administering an occupational injury- and illness-prevention program, together with an employee assistance program for team members.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Seasonality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is seasonal in nature and demand is generally the highest in our fourth fiscal quarter due to the holiday sales season.  To prepare for the holiday sales season, we must order and keep in stock more merchandise than we carry during other times of the year and generally engage in additional marketing efforts.  We expect inventory levels, along with accounts payable and accrued expenses, to reach their highest levels in our third and fourth fiscal quarters in anticipation of increased net sales during the holiday sales season.  As a result of this seasonality, and generally because of variation in consumer spending habits, we experience fluctuations in net sales and working capital requirements during the year.  Because we offer a broad selection of merchandise at extreme values, we believe we are generally less impacted than other retailers by economic cycles, which correspond with declines in general consumer spending habits and we believe we still benefit from periods of increased consumer spending.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annual reports on Form 10-K, quarterly reports on Form 10-Q, current reports on Form 8-K and amendments to those reports filed or furnished pursuant to Section 13(a) or 15(d) of the Securities and Exchange Act are available free of charge on our website, www.ollies.us, as soon as reasonably practicable after the electronic filing of such reports with the Securities and Exchange Commission (“SEC”).  The SEC maintains a website (www.sec.gov) that contains reports, proxy, and information statements and other information regarding issuers that file electronically with the SEC.</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3" w:name="RISKFACTORS"/>
      <w:bookmarkStart w:id="4" w:name="RISKFACTORS"/>
      <w:bookmarkEnd w:id="4"/>
    </w:p>
    <w:tbl>
      <w:tblPr>
        <w:tblW w:w="2950" w:type="dxa"/>
        <w:jc w:val="left"/>
        <w:tblInd w:w="0" w:type="dxa"/>
        <w:tblLayout w:type="fixed"/>
        <w:tblCellMar>
          <w:top w:w="0" w:type="dxa"/>
          <w:left w:w="0" w:type="dxa"/>
          <w:bottom w:w="0" w:type="dxa"/>
          <w:right w:w="0" w:type="dxa"/>
        </w:tblCellMar>
      </w:tblPr>
      <w:tblGrid>
        <w:gridCol w:w="1100"/>
        <w:gridCol w:w="1850"/>
      </w:tblGrid>
      <w:tr>
        <w:trPr/>
        <w:tc>
          <w:tcPr>
            <w:tcW w:w="1100" w:type="dxa"/>
            <w:tcBorders/>
            <w:vAlign w:val="center"/>
          </w:tcPr>
          <w:p>
            <w:pPr>
              <w:pStyle w:val="TableContents"/>
              <w:bidi w:val="0"/>
              <w:spacing w:before="0" w:after="283"/>
              <w:jc w:val="left"/>
              <w:rPr>
                <w:b/>
              </w:rPr>
            </w:pPr>
            <w:r>
              <w:rPr>
                <w:b/>
              </w:rPr>
              <w:t>ITEM 1A.</w:t>
            </w:r>
          </w:p>
        </w:tc>
        <w:tc>
          <w:tcPr>
            <w:tcW w:w="1850"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Investing in our common stock involves a high degree of risk. You should carefully consider the following risk factors, as well as other information in this Annual Report on Form 10-K, before deciding whether to invest in the shares of our common stock. The occurrence of any of the events described below could have a material adverse effect on our business, financial condition, or results of operations. In the case of such an event, the trading price of our common stock may decline, and you may lose all or part of your investment.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RISK FACTOR SUMMARY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providing the following summary of the risk factors contained in our Form 10-K to enhance the readability and accessibility of our risk factor disclosures.  We encourage our stockholders to carefully review the full risk factors contained in this Form 10-K in their entirety for additional information regarding the risks and uncertainties that could cause our actual results to vary materially from recent results or from our anticipated future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Business and Operations</w:t>
      </w:r>
    </w:p>
    <w:p>
      <w:pPr>
        <w:pStyle w:val="TextBody"/>
        <w:bidi w:val="0"/>
        <w:spacing w:before="0" w:after="0"/>
        <w:jc w:val="left"/>
        <w:rPr>
          <w:color w:val="000000"/>
          <w:shd w:fill="FFFFFF" w:val="clear"/>
        </w:rPr>
      </w:pPr>
      <w:r>
        <w:rPr>
          <w:color w:val="000000"/>
          <w:shd w:fill="FFFFFF" w:val="clear"/>
        </w:rPr>
        <w:t> </w:t>
      </w:r>
    </w:p>
    <w:tbl>
      <w:tblPr>
        <w:tblW w:w="6333" w:type="dxa"/>
        <w:jc w:val="left"/>
        <w:tblInd w:w="0" w:type="dxa"/>
        <w:tblLayout w:type="fixed"/>
        <w:tblCellMar>
          <w:top w:w="0" w:type="dxa"/>
          <w:left w:w="0" w:type="dxa"/>
          <w:bottom w:w="0" w:type="dxa"/>
          <w:right w:w="0" w:type="dxa"/>
        </w:tblCellMar>
      </w:tblPr>
      <w:tblGrid>
        <w:gridCol w:w="38"/>
        <w:gridCol w:w="110"/>
        <w:gridCol w:w="6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185" w:type="dxa"/>
            <w:tcBorders/>
            <w:vAlign w:val="center"/>
          </w:tcPr>
          <w:p>
            <w:pPr>
              <w:pStyle w:val="TableContents"/>
              <w:bidi w:val="0"/>
              <w:spacing w:before="0" w:after="0"/>
              <w:jc w:val="both"/>
              <w:rPr>
                <w:color w:val="000000"/>
              </w:rPr>
            </w:pPr>
            <w:r>
              <w:rPr>
                <w:color w:val="000000"/>
              </w:rPr>
              <w:t>We may not be able to execute our opportunistic buying strategy;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pPr>
            <w:r>
              <w:rPr>
                <w:color w:val="000000"/>
              </w:rPr>
              <w:t>Fluctuations in comparable store sales and results of operations, including fluctuations on a quarterly basis, could cause our business performance to decline substantially, as c</w:t>
            </w:r>
            <w:r>
              <w:rPr/>
              <w:t>omparable store sales and results of operations have fluctuated in the past and may do so again in the future;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Consumer confidence and spending may be reduced in light of factors beyond our control and our results of operations and financial results may suffer;</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Competition may increase in our segment of the retail market, which could put negative pressure on our results of operations and financial condition;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Identification of potential store locations and lease negotiations may not keep pace with our growth strategy;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are a “brick and mortar only” retailer.  Our lack of an online shopping option and an omnichannel customer experience may mean that we could face challenges to grow and retain customers.  Our customers, including our Ollie’s Army loyalty program members, may determine to shop at other stores or through web- and mobile-enabled services and therefore may not be as likely to shop at our stores;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not be able to develop and operate our distribution centers in an efficient or effective manner and that may result in not having sufficient inventory in our stores.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sz w:val="24"/>
              </w:rPr>
            </w:pPr>
            <w:r>
              <w:rPr>
                <w:sz w:val="20"/>
              </w:rPr>
              <w:t xml:space="preserve">The loss or disruption of one or more of our distribution centers or disruption of our supply chain or third-party shipping carriers could also make it difficult for us to timely receive or distribute </w:t>
            </w:r>
            <w:r>
              <w:rPr>
                <w:color w:val="000000"/>
                <w:sz w:val="20"/>
              </w:rPr>
              <w:t>merchandise</w:t>
            </w:r>
            <w:r>
              <w:rPr>
                <w:sz w:val="24"/>
              </w:rPr>
              <w:t xml:space="preserve"> </w:t>
            </w:r>
            <w:r>
              <w:rPr>
                <w:sz w:val="20"/>
              </w:rPr>
              <w:t>to our stores;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External economic pressures over which we have no or limited control, including among other items inflation, a significant decline in economic activity across the economy, occupancy costs, and transportation costs may reduce our profitability;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Shrinkage or the loss or theft of inventory and/or inventory management may result in material negative impacts on our results of operations;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sz w:val="20"/>
              </w:rPr>
            </w:pPr>
            <w:r>
              <w:rPr>
                <w:sz w:val="20"/>
              </w:rPr>
              <w:t>We may not be able to hire and retain the right people to run our stores and our distribution centers.  We also may not be able to hire and retain managerial personnel, the appropriate merchant team for our retail segment, and the senior management team and executive officers sufficient to meet our goals.  As a consequence, our results of operations and financial results may suffer; and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Legal and Regulatory Issues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are subject to governmental laws, regulations, procedures, and requirements that can lead to substantial penalties if we fail to achieve and/or maintain compliance;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are subject to risks associated with laws and regulations generally applicable to retailers and the risks associated with failing to comply with these laws and regulations;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From time to time, we are involved in legal proceedings from customers, suppliers, other vendors, employees, governments and governmental agencies, or competitors;</w:t>
            </w:r>
          </w:p>
        </w:tc>
      </w:tr>
    </w:tbl>
    <w:p>
      <w:pPr>
        <w:pStyle w:val="TextBody"/>
        <w:bidi w:val="0"/>
        <w:spacing w:before="0" w:after="0"/>
        <w:jc w:val="left"/>
        <w:rPr>
          <w:color w:val="000000"/>
          <w:shd w:fill="FFFFFF" w:val="clear"/>
        </w:rPr>
      </w:pPr>
      <w:r>
        <w:rPr>
          <w:color w:val="000000"/>
          <w:shd w:fill="FFFFFF" w:val="clear"/>
        </w:rPr>
        <w:t> </w:t>
      </w:r>
    </w:p>
    <w:tbl>
      <w:tblPr>
        <w:tblW w:w="7668" w:type="dxa"/>
        <w:jc w:val="left"/>
        <w:tblInd w:w="0" w:type="dxa"/>
        <w:tblLayout w:type="fixed"/>
        <w:tblCellMar>
          <w:top w:w="0" w:type="dxa"/>
          <w:left w:w="0" w:type="dxa"/>
          <w:bottom w:w="0" w:type="dxa"/>
          <w:right w:w="0" w:type="dxa"/>
        </w:tblCellMar>
      </w:tblPr>
      <w:tblGrid>
        <w:gridCol w:w="38"/>
        <w:gridCol w:w="110"/>
        <w:gridCol w:w="75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0"/>
              <w:jc w:val="both"/>
              <w:rPr/>
            </w:pPr>
            <w:r>
              <w:rPr/>
              <w:t>From time to time, we are involved in legal proceedings from stockholders;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color w:val="000000"/>
              </w:rPr>
            </w:pPr>
            <w:r>
              <w:rPr>
                <w:color w:val="000000"/>
              </w:rPr>
              <w:t>Legislative, regulatory and other actions resulting from the November 2024 elections for the U.S. President and the U.S. Congress are unpredictable and could have unforeseen consequences that could materially, adversely affect our business, financial position, results of operations, and cash flows.  Without limiting the generality of the foregoing statement, certain proposals regarding federal corporate tax reform and border-adjusted taxes, taxes levied on imported goods, may result in a material adverse effect on our financial position, results of operations, and cash flows.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Technology and Cybersecurity</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fail to maintain the security of information we hold relating to personal information or payment card data of our customers, employees, and suppliers;</w:t>
            </w:r>
          </w:p>
        </w:tc>
      </w:tr>
    </w:tbl>
    <w:p>
      <w:pPr>
        <w:pStyle w:val="TextBody"/>
        <w:bidi w:val="0"/>
        <w:spacing w:before="0" w:after="0"/>
        <w:jc w:val="left"/>
        <w:rPr>
          <w:color w:val="000000"/>
          <w:shd w:fill="FFFFFF" w:val="clear"/>
        </w:rPr>
      </w:pPr>
      <w:r>
        <w:rPr>
          <w:color w:val="000000"/>
          <w:shd w:fill="FFFFFF" w:val="clear"/>
        </w:rPr>
        <w:t> </w:t>
      </w:r>
    </w:p>
    <w:tbl>
      <w:tblPr>
        <w:tblW w:w="9003" w:type="dxa"/>
        <w:jc w:val="left"/>
        <w:tblInd w:w="0" w:type="dxa"/>
        <w:tblLayout w:type="fixed"/>
        <w:tblCellMar>
          <w:top w:w="0" w:type="dxa"/>
          <w:left w:w="0" w:type="dxa"/>
          <w:bottom w:w="0" w:type="dxa"/>
          <w:right w:w="0" w:type="dxa"/>
        </w:tblCellMar>
      </w:tblPr>
      <w:tblGrid>
        <w:gridCol w:w="38"/>
        <w:gridCol w:w="110"/>
        <w:gridCol w:w="88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0"/>
              <w:jc w:val="both"/>
              <w:rPr/>
            </w:pPr>
            <w:r>
              <w:rPr/>
              <w:t>We may not adequately prepare for, or respond to, existing and future privacy legislation;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may not be able to timely or adequately maintain or upgrade our technology systems needed for operations.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Accounting and Financial Matters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If our estimates or judgments relating to significant accounting policies prove to be incorrect, we could suffer negative financial results;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Changes to the accounting rules or regulations could have material adverse effects on our results of operations.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Ownership of Our Common Stock and Corporate Governance</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There is risk associated with our fluctuating quarterly operating results and we may fall short of prior periods, our projections, or the expectations of securities analysts or investors;</w:t>
            </w:r>
          </w:p>
        </w:tc>
      </w:tr>
    </w:tbl>
    <w:p>
      <w:pPr>
        <w:pStyle w:val="TextBody"/>
        <w:bidi w:val="0"/>
        <w:spacing w:before="0" w:after="0"/>
        <w:jc w:val="left"/>
        <w:rPr>
          <w:color w:val="000000"/>
          <w:shd w:fill="FFFFFF" w:val="clear"/>
        </w:rPr>
      </w:pPr>
      <w:r>
        <w:rPr>
          <w:color w:val="000000"/>
          <w:shd w:fill="FFFFFF" w:val="clear"/>
        </w:rPr>
        <w:t> </w:t>
      </w:r>
    </w:p>
    <w:tbl>
      <w:tblPr>
        <w:tblW w:w="7953" w:type="dxa"/>
        <w:jc w:val="left"/>
        <w:tblInd w:w="0" w:type="dxa"/>
        <w:tblLayout w:type="fixed"/>
        <w:tblCellMar>
          <w:top w:w="0" w:type="dxa"/>
          <w:left w:w="0" w:type="dxa"/>
          <w:bottom w:w="0" w:type="dxa"/>
          <w:right w:w="0" w:type="dxa"/>
        </w:tblCellMar>
      </w:tblPr>
      <w:tblGrid>
        <w:gridCol w:w="38"/>
        <w:gridCol w:w="110"/>
        <w:gridCol w:w="78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0"/>
              <w:jc w:val="both"/>
              <w:rPr/>
            </w:pPr>
            <w:r>
              <w:rPr/>
              <w:t>We may not declare dividends on our common stock in the foreseeable future; and</w:t>
            </w:r>
          </w:p>
        </w:tc>
      </w:tr>
    </w:tbl>
    <w:p>
      <w:pPr>
        <w:pStyle w:val="TextBody"/>
        <w:bidi w:val="0"/>
        <w:spacing w:before="0" w:after="0"/>
        <w:jc w:val="left"/>
        <w:rPr>
          <w:color w:val="000000"/>
          <w:shd w:fill="FFFFFF" w:val="clear"/>
        </w:rPr>
      </w:pPr>
      <w:r>
        <w:rPr>
          <w:color w:val="000000"/>
          <w:shd w:fill="FFFFFF" w:val="clear"/>
        </w:rPr>
        <w:t> </w:t>
      </w:r>
    </w:p>
    <w:tbl>
      <w:tblPr>
        <w:tblW w:w="9723" w:type="dxa"/>
        <w:jc w:val="left"/>
        <w:tblInd w:w="0" w:type="dxa"/>
        <w:tblLayout w:type="fixed"/>
        <w:tblCellMar>
          <w:top w:w="0" w:type="dxa"/>
          <w:left w:w="0" w:type="dxa"/>
          <w:bottom w:w="0" w:type="dxa"/>
          <w:right w:w="0" w:type="dxa"/>
        </w:tblCellMar>
      </w:tblPr>
      <w:tblGrid>
        <w:gridCol w:w="38"/>
        <w:gridCol w:w="110"/>
        <w:gridCol w:w="95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0"/>
              <w:jc w:val="both"/>
              <w:rPr/>
            </w:pPr>
            <w:r>
              <w:rPr/>
              <w:t>There are provisions in our organizational documents that could delay or prevent a change of control.</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Our Indebtedness and Capitalization</w:t>
      </w:r>
    </w:p>
    <w:p>
      <w:pPr>
        <w:pStyle w:val="TextBody"/>
        <w:bidi w:val="0"/>
        <w:spacing w:before="0" w:after="0"/>
        <w:jc w:val="left"/>
        <w:rPr>
          <w:color w:val="000000"/>
          <w:shd w:fill="FFFFFF" w:val="clear"/>
        </w:rPr>
      </w:pPr>
      <w:r>
        <w:rPr>
          <w:color w:val="000000"/>
          <w:shd w:fill="FFFFFF" w:val="clear"/>
        </w:rPr>
        <w:t> </w:t>
      </w:r>
    </w:p>
    <w:tbl>
      <w:tblPr>
        <w:tblW w:w="6978" w:type="dxa"/>
        <w:jc w:val="left"/>
        <w:tblInd w:w="0" w:type="dxa"/>
        <w:tblLayout w:type="fixed"/>
        <w:tblCellMar>
          <w:top w:w="0" w:type="dxa"/>
          <w:left w:w="0" w:type="dxa"/>
          <w:bottom w:w="0" w:type="dxa"/>
          <w:right w:w="0" w:type="dxa"/>
        </w:tblCellMar>
      </w:tblPr>
      <w:tblGrid>
        <w:gridCol w:w="38"/>
        <w:gridCol w:w="110"/>
        <w:gridCol w:w="68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0"/>
              <w:jc w:val="both"/>
              <w:rPr/>
            </w:pPr>
            <w:r>
              <w:rPr/>
              <w:t>Our credit facility can limit our ability to find other sources of financing;</w:t>
            </w:r>
          </w:p>
        </w:tc>
      </w:tr>
    </w:tbl>
    <w:p>
      <w:pPr>
        <w:pStyle w:val="TextBody"/>
        <w:bidi w:val="0"/>
        <w:spacing w:before="0" w:after="0"/>
        <w:jc w:val="left"/>
        <w:rPr>
          <w:color w:val="000000"/>
          <w:shd w:fill="FFFFFF" w:val="clear"/>
        </w:rPr>
      </w:pPr>
      <w:r>
        <w:rPr>
          <w:color w:val="000000"/>
          <w:shd w:fill="FFFFFF" w:val="clear"/>
        </w:rPr>
        <w:t> </w:t>
      </w:r>
    </w:p>
    <w:tbl>
      <w:tblPr>
        <w:tblW w:w="9363" w:type="dxa"/>
        <w:jc w:val="left"/>
        <w:tblInd w:w="0" w:type="dxa"/>
        <w:tblLayout w:type="fixed"/>
        <w:tblCellMar>
          <w:top w:w="0" w:type="dxa"/>
          <w:left w:w="0" w:type="dxa"/>
          <w:bottom w:w="0" w:type="dxa"/>
          <w:right w:w="0" w:type="dxa"/>
        </w:tblCellMar>
      </w:tblPr>
      <w:tblGrid>
        <w:gridCol w:w="38"/>
        <w:gridCol w:w="110"/>
        <w:gridCol w:w="9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0"/>
              <w:jc w:val="both"/>
              <w:rPr/>
            </w:pPr>
            <w:r>
              <w:rPr/>
              <w:t>There are covenants contained in our credit facility that we must meet in order to be able to use it;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If we are unable to generate sufficient cash flow to meet debt service, it could negatively impact our liquidity;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We cannot guarantee that our share repurchase program will be fully consummated or that it will enhance long-term stockholder value.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 more complete discussion of the material risks facing our business, see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BUSINESS AND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execute our opportunistic buying strategy, adequately manage our supply of inventory, or anticipate customer demand,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is dependent on our ability to strategically source a sufficient volume and variety of brand name merchandise at opportunistic pricing.  We do not have significant control over the supply, design, function, cost, or availability of much of the merchandise that we offer for sale in our stores.  Additionally, because we source a substantial amount of our merchandise from suppliers on a closeout basis, or with significantly reduced prices for various reasons, we are not always able to purchase specific merchandise on a recurring basis.  We do not have long-term contracts with our suppliers and, therefore, we have no contractual assurances of pricing or access to merchandise, and any supplier could discontinue sales to us at any time or offer us less favorable terms on future transactions.  Our merchant team generally makes individual purchase decisions for merchandise that becomes available, and these purchases may be for large quantities that we may not be able to sell on a timely or cost-effective basis.  To the extent that certain of our suppliers are better able to manage their inventory levels and reduce the amount of their excess inventory, the amount of discount or closeout merchandise available to us could also be materially reduced, potentially compromising our profit margin goals for procured merchandise.  Due to economic uncertainties, governmental orders, or other challenges, one or more of our suppliers could become unable to continue supplying discounted or closeout merchandise on terms or in quantities acceptable or desirable to us.  We also compete with other retailers, wholesalers, and jobbers for discounted and closeout merchandise to sell in our stores.  Those businesses may be better able to anticipate customer demand or procure desirable merchandise.  Shortages or disruptions in the availability of brand name or unbranded merchandise of a quality acceptable to our customers and to us could have a material adverse effect on our business, financial condition, and results of operations and also may result in customer dissatisfaction.  In addition, we may significantly overstock merchandise that proves to be undesirable and be forced to take significant markdowns.  We cannot ensure that our merchant team will continue to identify the appropriate customer demand and take advantage of appropriate buying opportunities,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Risks associated with or faced by our suppliers could adversely affect our results of operations and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source our merchandise from a variety of suppliers, and we depend on them to supply merchandise in a timely and efficient manner.  If one or more of our current suppliers became unable to supply merchandise, seeking alternative sources could increase our merchandise costs and supply chain lead time, potentially resulting in temporary reductions in store inventory levels, and could reduce the selection and quality of our merchandise.  An inability to obtain alternative sources could materially decrease our sales.  Additionally, if a supplier fails to deliver on its commitments, we could experience merchandise out-of-stocks that could lead to lost sales and reputational harm.  Further, failure of suppliers to meet our compliance protocols could prolong our procurement lead time, resulting in lost sales and adverse margin impact.  Changes to the prices and flow of certain merchandise is, at times, beyond our control for reasons that include, among others: political or civil unrest, acts of war, currency fluctuations, disruptions in maritime lanes, port labor disputes, economic conditions and instability in countries in which foreign suppliers are located, the financial instability of suppliers, failure to meet our terms and conditions or our standards, issues with our suppliers’ labor practices or labor disruptions they may experience (such as strikes, stoppages or slowdowns, which could also increase labor costs during and following the disruption), the availability and cost of raw materials, pandemic outbreaks, merchandise quality or safety issues, transport availability and cost, increases in wage rates and taxes, transport security, inflation, and other factors relating to suppliers.  Any such circumstances could adversely affect our results of operations and profitability.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Fluctuations in comparable store sales and results of operations, including fluctuations on a quarterly basis, could cause our business performance to decline substantially.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results of operations have fluctuated in the past, including on a quarterly basis, and can be expected to continue to fluctuate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comparable store sales and results of operations are affected by a variety of factors, including without limitation:</w:t>
      </w:r>
    </w:p>
    <w:p>
      <w:pPr>
        <w:pStyle w:val="TextBody"/>
        <w:bidi w:val="0"/>
        <w:spacing w:before="0" w:after="0"/>
        <w:jc w:val="left"/>
        <w:rPr>
          <w:color w:val="000000"/>
          <w:shd w:fill="FFFFFF" w:val="clear"/>
        </w:rPr>
      </w:pPr>
      <w:r>
        <w:rPr>
          <w:color w:val="000000"/>
          <w:shd w:fill="FFFFFF" w:val="clear"/>
        </w:rPr>
        <w:t> </w:t>
      </w:r>
    </w:p>
    <w:tbl>
      <w:tblPr>
        <w:tblW w:w="5733" w:type="dxa"/>
        <w:jc w:val="left"/>
        <w:tblInd w:w="0" w:type="dxa"/>
        <w:tblLayout w:type="fixed"/>
        <w:tblCellMar>
          <w:top w:w="0" w:type="dxa"/>
          <w:left w:w="0" w:type="dxa"/>
          <w:bottom w:w="0" w:type="dxa"/>
          <w:right w:w="0" w:type="dxa"/>
        </w:tblCellMar>
      </w:tblPr>
      <w:tblGrid>
        <w:gridCol w:w="38"/>
        <w:gridCol w:w="110"/>
        <w:gridCol w:w="558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0"/>
              <w:jc w:val="both"/>
              <w:rPr/>
            </w:pPr>
            <w:r>
              <w:rPr/>
              <w:t>national and regional economic trends in the United States;</w:t>
            </w:r>
          </w:p>
        </w:tc>
      </w:tr>
    </w:tbl>
    <w:p>
      <w:pPr>
        <w:pStyle w:val="TextBody"/>
        <w:bidi w:val="0"/>
        <w:spacing w:before="0" w:after="0"/>
        <w:jc w:val="left"/>
        <w:rPr>
          <w:color w:val="000000"/>
          <w:shd w:fill="FFFFFF" w:val="clear"/>
        </w:rPr>
      </w:pPr>
      <w:r>
        <w:rPr>
          <w:color w:val="000000"/>
          <w:shd w:fill="FFFFFF" w:val="clear"/>
        </w:rPr>
        <w:t> </w:t>
      </w:r>
    </w:p>
    <w:tbl>
      <w:tblPr>
        <w:tblW w:w="2703" w:type="dxa"/>
        <w:jc w:val="left"/>
        <w:tblInd w:w="0" w:type="dxa"/>
        <w:tblLayout w:type="fixed"/>
        <w:tblCellMar>
          <w:top w:w="0" w:type="dxa"/>
          <w:left w:w="0" w:type="dxa"/>
          <w:bottom w:w="0" w:type="dxa"/>
          <w:right w:w="0" w:type="dxa"/>
        </w:tblCellMar>
      </w:tblPr>
      <w:tblGrid>
        <w:gridCol w:w="38"/>
        <w:gridCol w:w="110"/>
        <w:gridCol w:w="255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0"/>
              <w:jc w:val="both"/>
              <w:rPr/>
            </w:pPr>
            <w:r>
              <w:rPr/>
              <w:t>changes in gasoline prices;</w:t>
            </w:r>
          </w:p>
        </w:tc>
      </w:tr>
    </w:tbl>
    <w:p>
      <w:pPr>
        <w:pStyle w:val="TextBody"/>
        <w:bidi w:val="0"/>
        <w:spacing w:before="0" w:after="0"/>
        <w:jc w:val="left"/>
        <w:rPr>
          <w:color w:val="000000"/>
          <w:shd w:fill="FFFFFF" w:val="clear"/>
        </w:rPr>
      </w:pPr>
      <w:r>
        <w:rPr>
          <w:color w:val="000000"/>
          <w:shd w:fill="FFFFFF" w:val="clear"/>
        </w:rPr>
        <w:t> </w:t>
      </w:r>
    </w:p>
    <w:tbl>
      <w:tblPr>
        <w:tblW w:w="4398" w:type="dxa"/>
        <w:jc w:val="left"/>
        <w:tblInd w:w="0" w:type="dxa"/>
        <w:tblLayout w:type="fixed"/>
        <w:tblCellMar>
          <w:top w:w="0" w:type="dxa"/>
          <w:left w:w="0" w:type="dxa"/>
          <w:bottom w:w="0" w:type="dxa"/>
          <w:right w:w="0" w:type="dxa"/>
        </w:tblCellMar>
      </w:tblPr>
      <w:tblGrid>
        <w:gridCol w:w="38"/>
        <w:gridCol w:w="110"/>
        <w:gridCol w:w="425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0"/>
              <w:jc w:val="both"/>
              <w:rPr/>
            </w:pPr>
            <w:r>
              <w:rPr/>
              <w:t>changes in shipping and transportation costs;</w:t>
            </w:r>
          </w:p>
        </w:tc>
      </w:tr>
    </w:tbl>
    <w:p>
      <w:pPr>
        <w:pStyle w:val="TextBody"/>
        <w:bidi w:val="0"/>
        <w:spacing w:before="0" w:after="0"/>
        <w:jc w:val="left"/>
        <w:rPr>
          <w:color w:val="000000"/>
          <w:shd w:fill="FFFFFF" w:val="clear"/>
        </w:rPr>
      </w:pPr>
      <w:r>
        <w:rPr>
          <w:color w:val="000000"/>
          <w:shd w:fill="FFFFFF" w:val="clear"/>
        </w:rPr>
        <w:t> </w:t>
      </w:r>
    </w:p>
    <w:tbl>
      <w:tblPr>
        <w:tblW w:w="3288" w:type="dxa"/>
        <w:jc w:val="left"/>
        <w:tblInd w:w="0" w:type="dxa"/>
        <w:tblLayout w:type="fixed"/>
        <w:tblCellMar>
          <w:top w:w="0" w:type="dxa"/>
          <w:left w:w="0" w:type="dxa"/>
          <w:bottom w:w="0" w:type="dxa"/>
          <w:right w:w="0" w:type="dxa"/>
        </w:tblCellMar>
      </w:tblPr>
      <w:tblGrid>
        <w:gridCol w:w="38"/>
        <w:gridCol w:w="110"/>
        <w:gridCol w:w="314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0"/>
              <w:jc w:val="both"/>
              <w:rPr/>
            </w:pPr>
            <w:r>
              <w:rPr/>
              <w:t>changes in our merchandise mix;</w:t>
            </w:r>
          </w:p>
        </w:tc>
      </w:tr>
    </w:tbl>
    <w:p>
      <w:pPr>
        <w:pStyle w:val="TextBody"/>
        <w:bidi w:val="0"/>
        <w:spacing w:before="0" w:after="0"/>
        <w:jc w:val="left"/>
        <w:rPr>
          <w:color w:val="000000"/>
          <w:shd w:fill="FFFFFF" w:val="clear"/>
        </w:rPr>
      </w:pPr>
      <w:r>
        <w:rPr>
          <w:color w:val="000000"/>
          <w:shd w:fill="FFFFFF" w:val="clear"/>
        </w:rPr>
        <w:t> </w:t>
      </w:r>
    </w:p>
    <w:tbl>
      <w:tblPr>
        <w:tblW w:w="1338" w:type="dxa"/>
        <w:jc w:val="left"/>
        <w:tblInd w:w="0" w:type="dxa"/>
        <w:tblLayout w:type="fixed"/>
        <w:tblCellMar>
          <w:top w:w="0" w:type="dxa"/>
          <w:left w:w="0" w:type="dxa"/>
          <w:bottom w:w="0" w:type="dxa"/>
          <w:right w:w="0" w:type="dxa"/>
        </w:tblCellMar>
      </w:tblPr>
      <w:tblGrid>
        <w:gridCol w:w="38"/>
        <w:gridCol w:w="110"/>
        <w:gridCol w:w="119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0"/>
              <w:jc w:val="both"/>
              <w:rPr/>
            </w:pPr>
            <w:r>
              <w:rPr/>
              <w:t>the weather;</w:t>
            </w:r>
          </w:p>
        </w:tc>
      </w:tr>
    </w:tbl>
    <w:p>
      <w:pPr>
        <w:pStyle w:val="TextBody"/>
        <w:bidi w:val="0"/>
        <w:spacing w:before="0" w:after="0"/>
        <w:jc w:val="left"/>
        <w:rPr>
          <w:color w:val="000000"/>
          <w:shd w:fill="FFFFFF" w:val="clear"/>
        </w:rPr>
      </w:pPr>
      <w:r>
        <w:rPr>
          <w:color w:val="000000"/>
          <w:shd w:fill="FFFFFF" w:val="clear"/>
        </w:rPr>
        <w:t> </w:t>
      </w:r>
    </w:p>
    <w:tbl>
      <w:tblPr>
        <w:tblW w:w="1968" w:type="dxa"/>
        <w:jc w:val="left"/>
        <w:tblInd w:w="0" w:type="dxa"/>
        <w:tblLayout w:type="fixed"/>
        <w:tblCellMar>
          <w:top w:w="0" w:type="dxa"/>
          <w:left w:w="0" w:type="dxa"/>
          <w:bottom w:w="0" w:type="dxa"/>
          <w:right w:w="0" w:type="dxa"/>
        </w:tblCellMar>
      </w:tblPr>
      <w:tblGrid>
        <w:gridCol w:w="38"/>
        <w:gridCol w:w="110"/>
        <w:gridCol w:w="182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0"/>
              <w:jc w:val="both"/>
              <w:rPr/>
            </w:pPr>
            <w:r>
              <w:rPr/>
              <w:t>changes in pricing;</w:t>
            </w:r>
          </w:p>
        </w:tc>
      </w:tr>
    </w:tbl>
    <w:p>
      <w:pPr>
        <w:pStyle w:val="TextBody"/>
        <w:bidi w:val="0"/>
        <w:spacing w:before="0" w:after="0"/>
        <w:jc w:val="left"/>
        <w:rPr>
          <w:color w:val="000000"/>
          <w:shd w:fill="FFFFFF" w:val="clear"/>
        </w:rPr>
      </w:pPr>
      <w:r>
        <w:rPr>
          <w:color w:val="000000"/>
          <w:shd w:fill="FFFFFF" w:val="clear"/>
        </w:rPr>
        <w:t> </w:t>
      </w:r>
    </w:p>
    <w:tbl>
      <w:tblPr>
        <w:tblW w:w="6273" w:type="dxa"/>
        <w:jc w:val="left"/>
        <w:tblInd w:w="0" w:type="dxa"/>
        <w:tblLayout w:type="fixed"/>
        <w:tblCellMar>
          <w:top w:w="0" w:type="dxa"/>
          <w:left w:w="0" w:type="dxa"/>
          <w:bottom w:w="0" w:type="dxa"/>
          <w:right w:w="0" w:type="dxa"/>
        </w:tblCellMar>
      </w:tblPr>
      <w:tblGrid>
        <w:gridCol w:w="38"/>
        <w:gridCol w:w="110"/>
        <w:gridCol w:w="612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0"/>
              <w:jc w:val="both"/>
              <w:rPr/>
            </w:pPr>
            <w:r>
              <w:rPr/>
              <w:t>changes in the timing of promotional and advertising efforts; and</w:t>
            </w:r>
          </w:p>
        </w:tc>
      </w:tr>
    </w:tbl>
    <w:p>
      <w:pPr>
        <w:pStyle w:val="TextBody"/>
        <w:bidi w:val="0"/>
        <w:spacing w:before="0" w:after="0"/>
        <w:jc w:val="left"/>
        <w:rPr>
          <w:color w:val="000000"/>
          <w:shd w:fill="FFFFFF" w:val="clear"/>
        </w:rPr>
      </w:pPr>
      <w:r>
        <w:rPr>
          <w:color w:val="000000"/>
          <w:shd w:fill="FFFFFF" w:val="clear"/>
        </w:rPr>
        <w:t> </w:t>
      </w:r>
    </w:p>
    <w:tbl>
      <w:tblPr>
        <w:tblW w:w="2898" w:type="dxa"/>
        <w:jc w:val="left"/>
        <w:tblInd w:w="0" w:type="dxa"/>
        <w:tblLayout w:type="fixed"/>
        <w:tblCellMar>
          <w:top w:w="0" w:type="dxa"/>
          <w:left w:w="0" w:type="dxa"/>
          <w:bottom w:w="0" w:type="dxa"/>
          <w:right w:w="0" w:type="dxa"/>
        </w:tblCellMar>
      </w:tblPr>
      <w:tblGrid>
        <w:gridCol w:w="38"/>
        <w:gridCol w:w="110"/>
        <w:gridCol w:w="275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both"/>
              <w:rPr/>
            </w:pPr>
            <w:r>
              <w:rPr/>
              <w:t>holidays or seasonal periods.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our future comparable store sales fail to meet expectations, then our cash flow and profitability may decline substantially,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rely on third parties to move merchandise through ports and transport them from ports to our centralized distribution centers.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ability to timely and effectively deliver merchandise to our stores relies in part on shipping and transportation partners to timely and safely move our merchandise from manufacturing facilities to ports and then onto oceangoing carriers.  The demand for space onboard oceangoing vessels can vary and costs to secure space can vary greatly.  We may be subject to higher transportation costs or be unable to secure space for containers on economically reasonable terms.  In addition, there may be labor or other disputes at either ports of departure or at ports of entry that may delay or otherwise hinder the flow of merchandise.  Additional factors, such as customs or border control policies and unanticipated tariffs, such as additional or new import tariffs, may further delay or hinder transportation of merchandise or the costs to obtain them.  There are multiple factors in the transportation of merchandise that are both outside of our control and which may negatively impact the cost of the merchandise or the timeframes in which we receive the same.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Factors such as inflation, cost increases, and energy prices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Future increases in costs, such as the cost of labor, merchandise, shipping rates, freight and other transportation costs (including import costs), and store occupancy costs, may reduce our profitability, given our pricing model.  These cost increases may be the result of inflationary pressures, geopolitical factors, or public policies, which could further reduce our sales or profitability.  Increases in other operating costs, including changes in energy prices, wage rates, and lease and utility costs, may increase our cost of merchandise sold or selling, general, and administrative expenses.  Our low-price model and competitive pressures in our industry may inhibit our ability to reflect these increased costs in the prices of our merchandise and, therefore, reduce our profitability and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ability to generate revenue is dependent on consumer confidence and spending, which may be subject to factors beyond our control, including changes in economic and political conditions, as well as health concerns.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success of our business depends, to a significant extent, on the level of consumer confidence and spending.  A number of factors beyond our control affect the level of customer confidence and spending on the merchandise that we sell, including, among other items:</w:t>
      </w:r>
    </w:p>
    <w:p>
      <w:pPr>
        <w:pStyle w:val="TextBody"/>
        <w:bidi w:val="0"/>
        <w:spacing w:before="0" w:after="0"/>
        <w:jc w:val="left"/>
        <w:rPr>
          <w:color w:val="000000"/>
          <w:shd w:fill="FFFFFF" w:val="clear"/>
        </w:rPr>
      </w:pPr>
      <w:r>
        <w:rPr>
          <w:color w:val="000000"/>
          <w:shd w:fill="FFFFFF" w:val="clear"/>
        </w:rPr>
        <w:t> </w:t>
      </w:r>
    </w:p>
    <w:tbl>
      <w:tblPr>
        <w:tblW w:w="2748" w:type="dxa"/>
        <w:jc w:val="left"/>
        <w:tblInd w:w="0" w:type="dxa"/>
        <w:tblLayout w:type="fixed"/>
        <w:tblCellMar>
          <w:top w:w="0" w:type="dxa"/>
          <w:left w:w="0" w:type="dxa"/>
          <w:bottom w:w="0" w:type="dxa"/>
          <w:right w:w="0" w:type="dxa"/>
        </w:tblCellMar>
      </w:tblPr>
      <w:tblGrid>
        <w:gridCol w:w="38"/>
        <w:gridCol w:w="110"/>
        <w:gridCol w:w="260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both"/>
              <w:rPr/>
            </w:pPr>
            <w:r>
              <w:rPr/>
              <w:t>energy and gasoline prices;</w:t>
            </w:r>
          </w:p>
        </w:tc>
      </w:tr>
    </w:tbl>
    <w:p>
      <w:pPr>
        <w:pStyle w:val="TextBody"/>
        <w:bidi w:val="0"/>
        <w:spacing w:before="0" w:after="0"/>
        <w:jc w:val="left"/>
        <w:rPr>
          <w:color w:val="000000"/>
          <w:shd w:fill="FFFFFF" w:val="clear"/>
        </w:rPr>
      </w:pPr>
      <w:r>
        <w:rPr>
          <w:color w:val="000000"/>
          <w:shd w:fill="FFFFFF" w:val="clear"/>
        </w:rPr>
        <w:t> </w:t>
      </w:r>
    </w:p>
    <w:tbl>
      <w:tblPr>
        <w:tblW w:w="3333" w:type="dxa"/>
        <w:jc w:val="left"/>
        <w:tblInd w:w="0" w:type="dxa"/>
        <w:tblLayout w:type="fixed"/>
        <w:tblCellMar>
          <w:top w:w="0" w:type="dxa"/>
          <w:left w:w="0" w:type="dxa"/>
          <w:bottom w:w="0" w:type="dxa"/>
          <w:right w:w="0" w:type="dxa"/>
        </w:tblCellMar>
      </w:tblPr>
      <w:tblGrid>
        <w:gridCol w:w="38"/>
        <w:gridCol w:w="110"/>
        <w:gridCol w:w="318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0"/>
              <w:jc w:val="both"/>
              <w:rPr/>
            </w:pPr>
            <w:r>
              <w:rPr/>
              <w:t>shipping and transportation costs;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disposable income of our customers, which is impacted by unemployment levels, personal debt levels, and wages;</w:t>
            </w:r>
          </w:p>
        </w:tc>
      </w:tr>
    </w:tbl>
    <w:p>
      <w:pPr>
        <w:pStyle w:val="TextBody"/>
        <w:bidi w:val="0"/>
        <w:spacing w:before="0" w:after="0"/>
        <w:jc w:val="left"/>
        <w:rPr>
          <w:color w:val="000000"/>
          <w:shd w:fill="FFFFFF" w:val="clear"/>
        </w:rPr>
      </w:pPr>
      <w:r>
        <w:rPr>
          <w:color w:val="000000"/>
          <w:shd w:fill="FFFFFF" w:val="clear"/>
        </w:rPr>
        <w:t> </w:t>
      </w:r>
    </w:p>
    <w:tbl>
      <w:tblPr>
        <w:tblW w:w="2658" w:type="dxa"/>
        <w:jc w:val="left"/>
        <w:tblInd w:w="0" w:type="dxa"/>
        <w:tblLayout w:type="fixed"/>
        <w:tblCellMar>
          <w:top w:w="0" w:type="dxa"/>
          <w:left w:w="0" w:type="dxa"/>
          <w:bottom w:w="0" w:type="dxa"/>
          <w:right w:w="0" w:type="dxa"/>
        </w:tblCellMar>
      </w:tblPr>
      <w:tblGrid>
        <w:gridCol w:w="38"/>
        <w:gridCol w:w="110"/>
        <w:gridCol w:w="251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0"/>
              <w:jc w:val="both"/>
              <w:rPr/>
            </w:pPr>
            <w:r>
              <w:rPr/>
              <w:t>interest rates and inflation;</w:t>
            </w:r>
          </w:p>
        </w:tc>
      </w:tr>
    </w:tbl>
    <w:p>
      <w:pPr>
        <w:pStyle w:val="TextBody"/>
        <w:bidi w:val="0"/>
        <w:spacing w:before="0" w:after="0"/>
        <w:jc w:val="left"/>
        <w:rPr>
          <w:color w:val="000000"/>
          <w:shd w:fill="FFFFFF" w:val="clear"/>
        </w:rPr>
      </w:pPr>
      <w:r>
        <w:rPr>
          <w:color w:val="000000"/>
          <w:shd w:fill="FFFFFF" w:val="clear"/>
        </w:rPr>
        <w:t> </w:t>
      </w:r>
    </w:p>
    <w:tbl>
      <w:tblPr>
        <w:tblW w:w="6588" w:type="dxa"/>
        <w:jc w:val="left"/>
        <w:tblInd w:w="0" w:type="dxa"/>
        <w:tblLayout w:type="fixed"/>
        <w:tblCellMar>
          <w:top w:w="0" w:type="dxa"/>
          <w:left w:w="0" w:type="dxa"/>
          <w:bottom w:w="0" w:type="dxa"/>
          <w:right w:w="0" w:type="dxa"/>
        </w:tblCellMar>
      </w:tblPr>
      <w:tblGrid>
        <w:gridCol w:w="38"/>
        <w:gridCol w:w="110"/>
        <w:gridCol w:w="644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0"/>
              <w:jc w:val="both"/>
              <w:rPr/>
            </w:pPr>
            <w:r>
              <w:rPr/>
              <w:t>discounts, promotions, and merchandise offered by our competitors;</w:t>
            </w:r>
          </w:p>
        </w:tc>
      </w:tr>
    </w:tbl>
    <w:p>
      <w:pPr>
        <w:pStyle w:val="TextBody"/>
        <w:bidi w:val="0"/>
        <w:spacing w:before="0" w:after="0"/>
        <w:jc w:val="left"/>
        <w:rPr>
          <w:color w:val="000000"/>
          <w:shd w:fill="FFFFFF" w:val="clear"/>
        </w:rPr>
      </w:pPr>
      <w:r>
        <w:rPr>
          <w:color w:val="000000"/>
          <w:shd w:fill="FFFFFF" w:val="clear"/>
        </w:rPr>
        <w:t> </w:t>
      </w:r>
    </w:p>
    <w:tbl>
      <w:tblPr>
        <w:tblW w:w="6168" w:type="dxa"/>
        <w:jc w:val="left"/>
        <w:tblInd w:w="0" w:type="dxa"/>
        <w:tblLayout w:type="fixed"/>
        <w:tblCellMar>
          <w:top w:w="0" w:type="dxa"/>
          <w:left w:w="0" w:type="dxa"/>
          <w:bottom w:w="0" w:type="dxa"/>
          <w:right w:w="0" w:type="dxa"/>
        </w:tblCellMar>
      </w:tblPr>
      <w:tblGrid>
        <w:gridCol w:w="38"/>
        <w:gridCol w:w="110"/>
        <w:gridCol w:w="602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0"/>
              <w:jc w:val="both"/>
              <w:rPr/>
            </w:pPr>
            <w:r>
              <w:rPr/>
              <w:t>negative reports and publicity about the discount retail industry;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outbreak of viruses or widespread illness, and behavioral changes from a fear of contracting such viruses or illness;</w:t>
            </w:r>
          </w:p>
        </w:tc>
      </w:tr>
    </w:tbl>
    <w:p>
      <w:pPr>
        <w:pStyle w:val="TextBody"/>
        <w:bidi w:val="0"/>
        <w:spacing w:before="0" w:after="0"/>
        <w:jc w:val="left"/>
        <w:rPr>
          <w:color w:val="000000"/>
          <w:shd w:fill="FFFFFF" w:val="clear"/>
        </w:rPr>
      </w:pPr>
      <w:r>
        <w:rPr>
          <w:color w:val="000000"/>
          <w:shd w:fill="FFFFFF" w:val="clear"/>
        </w:rPr>
        <w:t> </w:t>
      </w:r>
    </w:p>
    <w:tbl>
      <w:tblPr>
        <w:tblW w:w="4173" w:type="dxa"/>
        <w:jc w:val="left"/>
        <w:tblInd w:w="0" w:type="dxa"/>
        <w:tblLayout w:type="fixed"/>
        <w:tblCellMar>
          <w:top w:w="0" w:type="dxa"/>
          <w:left w:w="0" w:type="dxa"/>
          <w:bottom w:w="0" w:type="dxa"/>
          <w:right w:w="0" w:type="dxa"/>
        </w:tblCellMar>
      </w:tblPr>
      <w:tblGrid>
        <w:gridCol w:w="38"/>
        <w:gridCol w:w="110"/>
        <w:gridCol w:w="402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0"/>
              <w:jc w:val="both"/>
              <w:rPr/>
            </w:pPr>
            <w:r>
              <w:rPr/>
              <w:t>general economic and industry conditions;</w:t>
            </w:r>
          </w:p>
        </w:tc>
      </w:tr>
    </w:tbl>
    <w:p>
      <w:pPr>
        <w:pStyle w:val="TextBody"/>
        <w:bidi w:val="0"/>
        <w:spacing w:before="0" w:after="0"/>
        <w:jc w:val="left"/>
        <w:rPr>
          <w:color w:val="000000"/>
          <w:shd w:fill="FFFFFF" w:val="clear"/>
        </w:rPr>
      </w:pPr>
      <w:r>
        <w:rPr>
          <w:color w:val="000000"/>
          <w:shd w:fill="FFFFFF" w:val="clear"/>
        </w:rPr>
        <w:t> </w:t>
      </w:r>
    </w:p>
    <w:tbl>
      <w:tblPr>
        <w:tblW w:w="1293" w:type="dxa"/>
        <w:jc w:val="left"/>
        <w:tblInd w:w="0" w:type="dxa"/>
        <w:tblLayout w:type="fixed"/>
        <w:tblCellMar>
          <w:top w:w="0" w:type="dxa"/>
          <w:left w:w="0" w:type="dxa"/>
          <w:bottom w:w="0" w:type="dxa"/>
          <w:right w:w="0" w:type="dxa"/>
        </w:tblCellMar>
      </w:tblPr>
      <w:tblGrid>
        <w:gridCol w:w="38"/>
        <w:gridCol w:w="110"/>
        <w:gridCol w:w="114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0"/>
              <w:jc w:val="both"/>
              <w:rPr/>
            </w:pPr>
            <w:r>
              <w:rPr/>
              <w:t>food prices;</w:t>
            </w:r>
          </w:p>
        </w:tc>
      </w:tr>
    </w:tbl>
    <w:p>
      <w:pPr>
        <w:pStyle w:val="TextBody"/>
        <w:bidi w:val="0"/>
        <w:spacing w:before="0" w:after="0"/>
        <w:jc w:val="left"/>
        <w:rPr>
          <w:color w:val="000000"/>
          <w:shd w:fill="FFFFFF" w:val="clear"/>
        </w:rPr>
      </w:pPr>
      <w:r>
        <w:rPr>
          <w:color w:val="000000"/>
          <w:shd w:fill="FFFFFF" w:val="clear"/>
        </w:rPr>
        <w:t> </w:t>
      </w:r>
    </w:p>
    <w:tbl>
      <w:tblPr>
        <w:tblW w:w="3123" w:type="dxa"/>
        <w:jc w:val="left"/>
        <w:tblInd w:w="0" w:type="dxa"/>
        <w:tblLayout w:type="fixed"/>
        <w:tblCellMar>
          <w:top w:w="0" w:type="dxa"/>
          <w:left w:w="0" w:type="dxa"/>
          <w:bottom w:w="0" w:type="dxa"/>
          <w:right w:w="0" w:type="dxa"/>
        </w:tblCellMar>
      </w:tblPr>
      <w:tblGrid>
        <w:gridCol w:w="38"/>
        <w:gridCol w:w="110"/>
        <w:gridCol w:w="297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both"/>
              <w:rPr/>
            </w:pPr>
            <w:r>
              <w:rPr/>
              <w:t>the state of the housing market;</w:t>
            </w:r>
          </w:p>
        </w:tc>
      </w:tr>
    </w:tbl>
    <w:p>
      <w:pPr>
        <w:pStyle w:val="TextBody"/>
        <w:bidi w:val="0"/>
        <w:spacing w:before="0" w:after="0"/>
        <w:jc w:val="left"/>
        <w:rPr>
          <w:color w:val="000000"/>
          <w:shd w:fill="FFFFFF" w:val="clear"/>
        </w:rPr>
      </w:pPr>
      <w:r>
        <w:rPr>
          <w:color w:val="000000"/>
          <w:shd w:fill="FFFFFF" w:val="clear"/>
        </w:rPr>
        <w:t> </w:t>
      </w:r>
    </w:p>
    <w:tbl>
      <w:tblPr>
        <w:tblW w:w="5058" w:type="dxa"/>
        <w:jc w:val="left"/>
        <w:tblInd w:w="0" w:type="dxa"/>
        <w:tblLayout w:type="fixed"/>
        <w:tblCellMar>
          <w:top w:w="0" w:type="dxa"/>
          <w:left w:w="0" w:type="dxa"/>
          <w:bottom w:w="0" w:type="dxa"/>
          <w:right w:w="0" w:type="dxa"/>
        </w:tblCellMar>
      </w:tblPr>
      <w:tblGrid>
        <w:gridCol w:w="38"/>
        <w:gridCol w:w="110"/>
        <w:gridCol w:w="491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0"/>
              <w:jc w:val="both"/>
              <w:rPr/>
            </w:pPr>
            <w:r>
              <w:rPr/>
              <w:t>customer confidence in future economic conditions;</w:t>
            </w:r>
          </w:p>
        </w:tc>
      </w:tr>
    </w:tbl>
    <w:p>
      <w:pPr>
        <w:pStyle w:val="TextBody"/>
        <w:bidi w:val="0"/>
        <w:spacing w:before="0" w:after="0"/>
        <w:jc w:val="left"/>
        <w:rPr>
          <w:color w:val="000000"/>
          <w:shd w:fill="FFFFFF" w:val="clear"/>
        </w:rPr>
      </w:pPr>
      <w:r>
        <w:rPr>
          <w:color w:val="000000"/>
          <w:shd w:fill="FFFFFF" w:val="clear"/>
        </w:rPr>
        <w:t> </w:t>
      </w:r>
    </w:p>
    <w:tbl>
      <w:tblPr>
        <w:tblW w:w="3588" w:type="dxa"/>
        <w:jc w:val="left"/>
        <w:tblInd w:w="0" w:type="dxa"/>
        <w:tblLayout w:type="fixed"/>
        <w:tblCellMar>
          <w:top w:w="0" w:type="dxa"/>
          <w:left w:w="0" w:type="dxa"/>
          <w:bottom w:w="0" w:type="dxa"/>
          <w:right w:w="0" w:type="dxa"/>
        </w:tblCellMar>
      </w:tblPr>
      <w:tblGrid>
        <w:gridCol w:w="38"/>
        <w:gridCol w:w="110"/>
        <w:gridCol w:w="344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0"/>
              <w:jc w:val="both"/>
              <w:rPr/>
            </w:pPr>
            <w:r>
              <w:rPr/>
              <w:t>fluctuations in the financial markets;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color w:val="000000"/>
              </w:rPr>
            </w:pPr>
            <w:r>
              <w:rPr>
                <w:color w:val="000000"/>
              </w:rPr>
              <w:t>government sponsored relief packages and governmental benefits, such as social security benefits, as affected by current cost of living adjustments, as well as any government stimulus payments and enhanced unemployment benefits;</w:t>
            </w:r>
          </w:p>
        </w:tc>
      </w:tr>
    </w:tbl>
    <w:p>
      <w:pPr>
        <w:pStyle w:val="TextBody"/>
        <w:bidi w:val="0"/>
        <w:spacing w:before="0" w:after="0"/>
        <w:jc w:val="left"/>
        <w:rPr>
          <w:color w:val="000000"/>
          <w:shd w:fill="FFFFFF" w:val="clear"/>
        </w:rPr>
      </w:pPr>
      <w:r>
        <w:rPr>
          <w:color w:val="000000"/>
          <w:shd w:fill="FFFFFF" w:val="clear"/>
        </w:rPr>
        <w:t> </w:t>
      </w:r>
    </w:p>
    <w:tbl>
      <w:tblPr>
        <w:tblW w:w="2613" w:type="dxa"/>
        <w:jc w:val="left"/>
        <w:tblInd w:w="0" w:type="dxa"/>
        <w:tblLayout w:type="fixed"/>
        <w:tblCellMar>
          <w:top w:w="0" w:type="dxa"/>
          <w:left w:w="0" w:type="dxa"/>
          <w:bottom w:w="0" w:type="dxa"/>
          <w:right w:w="0" w:type="dxa"/>
        </w:tblCellMar>
      </w:tblPr>
      <w:tblGrid>
        <w:gridCol w:w="38"/>
        <w:gridCol w:w="110"/>
        <w:gridCol w:w="246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0"/>
              <w:jc w:val="both"/>
              <w:rPr/>
            </w:pPr>
            <w:r>
              <w:rPr/>
              <w:t>tax rates and policies; and</w:t>
            </w:r>
          </w:p>
        </w:tc>
      </w:tr>
    </w:tbl>
    <w:p>
      <w:pPr>
        <w:pStyle w:val="TextBody"/>
        <w:bidi w:val="0"/>
        <w:spacing w:before="0" w:after="0"/>
        <w:jc w:val="left"/>
        <w:rPr>
          <w:color w:val="000000"/>
          <w:shd w:fill="FFFFFF" w:val="clear"/>
        </w:rPr>
      </w:pPr>
      <w:r>
        <w:rPr>
          <w:color w:val="000000"/>
          <w:shd w:fill="FFFFFF" w:val="clear"/>
        </w:rPr>
        <w:t> </w:t>
      </w:r>
    </w:p>
    <w:tbl>
      <w:tblPr>
        <w:tblW w:w="5133" w:type="dxa"/>
        <w:jc w:val="left"/>
        <w:tblInd w:w="0" w:type="dxa"/>
        <w:tblLayout w:type="fixed"/>
        <w:tblCellMar>
          <w:top w:w="0" w:type="dxa"/>
          <w:left w:w="0" w:type="dxa"/>
          <w:bottom w:w="0" w:type="dxa"/>
          <w:right w:w="0" w:type="dxa"/>
        </w:tblCellMar>
      </w:tblPr>
      <w:tblGrid>
        <w:gridCol w:w="38"/>
        <w:gridCol w:w="110"/>
        <w:gridCol w:w="498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0"/>
              <w:jc w:val="both"/>
              <w:rPr/>
            </w:pPr>
            <w:r>
              <w:rPr/>
              <w:t>natural disasters, war, terrorism, and other hostilities.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Reduced customer confidence and spending may result in reduced demand for our merchandise, including discretionary items, and may force us to take inventory markdowns.  Reduced demand also may require increased selling and promotional expenses.  Adverse economic conditions and any related decrease in customer demand for our merchandise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Many of the factors identified above also affect commodity rates, transportation costs, costs of labor, insurance, and healthcare, the strength of the U.S. dollar, lease costs, measures that create barriers to or increase the costs associated with international trade, changes in other laws and regulations, and other economic factors, all of which may impact our cost of merchandise sold and our selling, general, and administrative expenses,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do not compete in the growing online and omnichannel retail marketplace,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long-term business strategy does not presently include the development of online retailing capabilities or offering of an omnichannel shopping experience.  To the extent that we implement online operations, we would incur substantial expenses related to such activities and would be exposed to additional risks, including additional cybersecurity risk.  Furthermore, the development of an online retail marketplace is a complex undertaking, and there is no guarantee that the resources we apply to this effort will result in any material increased revenues or better overall operating performance.  However, with the growing acceptance of online and omnichannel shopping, which may have accelerated as a result of the COVID-19 pandemic, both among consumers who previously shopped online and consumers who did not previously do so, or did not do so as frequently, we may continue to face challenges related to customers shopping in brick-and-mortar stores.  In addition, the increased proliferation of mobile devices and enhanced and robust connections to mobile networks, competition from other retailers in the online and omnichannel retail marketplace is expected to continue to increase and may negatively impact our results of operations.  Certain of our competitors and a number of traditional online retailers have established robust online and omnichannel operations.  Increased competition from online or omnichannel retailers and our lack of an online or omnichannel retail presence may reduce our customers’ desire to purchase merchandise from us and could have a material adverse effect on our business, financial condition, and results of operations.  If consumers determine to shop more online due to cultural or health concerns, those consumers may be less likely to return to brick-and-mortar retailers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Labor shortages and increased turnover or increases in employee and employee-related costs could have adverse effects on our profitability.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experienced in the past, and expect to continue to experience, increased labor shortages at some of our stores and distribution centers.  While we have historically experienced some level of ordinary course turnover of employees, the COVID-19 pandemic and resulting actions and impacts have exacerbated labor shortages and increased turnover.  A number of factors have had and may continue to have adverse effects on the labor force available to us, including reduced employment pools, federal unemployment subsidies, and other government regulations, which include laws and regulations related to workers’ health and safety, wage and hour practices, and immigration.  Labor shortages and increased turnover rates involving our team members have led to, and could in the future lead to, increased costs, such as increased overtime to meet demand and increased wage rates to attract and retain employees and could negatively affect our ability to efficiently operate our facilities or otherwise operate at full capacity.  An overall or prolonged labor shortage, lack of skilled labor, increased turnover, or labor inflation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face intense competition, which could limit our growth opportunities and adversely impact our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compete with a highly fragmented group of competitors, including discount, closeout, mass merchant, department, grocery, drug, convenience, hardware, variety, online, and other specialty stores.  We compete with these retailers with respect to product cost and price, store location, supply and quality of merchandise, assortment and presentation, and customer service among other items.  This competitive environment subjects us to the risk of an adverse impact to our financial performance because of the lower prices, and thus the lower margins, that are required to maintain our competitive position.  A number of different competitive factors outside of our control could impact our ability to compete effectively, including without limitation:</w:t>
      </w:r>
    </w:p>
    <w:p>
      <w:pPr>
        <w:pStyle w:val="TextBody"/>
        <w:bidi w:val="0"/>
        <w:spacing w:before="0" w:after="0"/>
        <w:jc w:val="left"/>
        <w:rPr>
          <w:color w:val="000000"/>
          <w:shd w:fill="FFFFFF" w:val="clear"/>
        </w:rPr>
      </w:pPr>
      <w:r>
        <w:rPr>
          <w:color w:val="000000"/>
          <w:shd w:fill="FFFFFF" w:val="clear"/>
        </w:rPr>
        <w:t> </w:t>
      </w:r>
    </w:p>
    <w:tbl>
      <w:tblPr>
        <w:tblW w:w="4008" w:type="dxa"/>
        <w:jc w:val="left"/>
        <w:tblInd w:w="0" w:type="dxa"/>
        <w:tblLayout w:type="fixed"/>
        <w:tblCellMar>
          <w:top w:w="0" w:type="dxa"/>
          <w:left w:w="0" w:type="dxa"/>
          <w:bottom w:w="0" w:type="dxa"/>
          <w:right w:w="0" w:type="dxa"/>
        </w:tblCellMar>
      </w:tblPr>
      <w:tblGrid>
        <w:gridCol w:w="38"/>
        <w:gridCol w:w="110"/>
        <w:gridCol w:w="386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both"/>
              <w:rPr/>
            </w:pPr>
            <w:r>
              <w:rPr/>
              <w:t>entry of new competitors in our markets;</w:t>
            </w:r>
          </w:p>
        </w:tc>
      </w:tr>
    </w:tbl>
    <w:p>
      <w:pPr>
        <w:pStyle w:val="TextBody"/>
        <w:bidi w:val="0"/>
        <w:spacing w:before="0" w:after="0"/>
        <w:jc w:val="left"/>
        <w:rPr>
          <w:color w:val="000000"/>
          <w:shd w:fill="FFFFFF" w:val="clear"/>
        </w:rPr>
      </w:pPr>
      <w:r>
        <w:rPr>
          <w:color w:val="000000"/>
          <w:shd w:fill="FFFFFF" w:val="clear"/>
        </w:rPr>
        <w:t> </w:t>
      </w:r>
    </w:p>
    <w:tbl>
      <w:tblPr>
        <w:tblW w:w="3408" w:type="dxa"/>
        <w:jc w:val="left"/>
        <w:tblInd w:w="0" w:type="dxa"/>
        <w:tblLayout w:type="fixed"/>
        <w:tblCellMar>
          <w:top w:w="0" w:type="dxa"/>
          <w:left w:w="0" w:type="dxa"/>
          <w:bottom w:w="0" w:type="dxa"/>
          <w:right w:w="0" w:type="dxa"/>
        </w:tblCellMar>
      </w:tblPr>
      <w:tblGrid>
        <w:gridCol w:w="38"/>
        <w:gridCol w:w="110"/>
        <w:gridCol w:w="326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0"/>
              <w:jc w:val="both"/>
              <w:rPr/>
            </w:pPr>
            <w:r>
              <w:rPr/>
              <w:t>vertical integration of competitors;</w:t>
            </w:r>
          </w:p>
        </w:tc>
      </w:tr>
    </w:tbl>
    <w:p>
      <w:pPr>
        <w:pStyle w:val="TextBody"/>
        <w:bidi w:val="0"/>
        <w:spacing w:before="0" w:after="0"/>
        <w:jc w:val="left"/>
        <w:rPr>
          <w:color w:val="000000"/>
          <w:shd w:fill="FFFFFF" w:val="clear"/>
        </w:rPr>
      </w:pPr>
      <w:r>
        <w:rPr>
          <w:color w:val="000000"/>
          <w:shd w:fill="FFFFFF" w:val="clear"/>
        </w:rPr>
        <w:t> </w:t>
      </w:r>
    </w:p>
    <w:tbl>
      <w:tblPr>
        <w:tblW w:w="4773" w:type="dxa"/>
        <w:jc w:val="left"/>
        <w:tblInd w:w="0" w:type="dxa"/>
        <w:tblLayout w:type="fixed"/>
        <w:tblCellMar>
          <w:top w:w="0" w:type="dxa"/>
          <w:left w:w="0" w:type="dxa"/>
          <w:bottom w:w="0" w:type="dxa"/>
          <w:right w:w="0" w:type="dxa"/>
        </w:tblCellMar>
      </w:tblPr>
      <w:tblGrid>
        <w:gridCol w:w="38"/>
        <w:gridCol w:w="110"/>
        <w:gridCol w:w="462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0"/>
              <w:jc w:val="both"/>
              <w:rPr/>
            </w:pPr>
            <w:r>
              <w:rPr/>
              <w:t>increased operational efficiencies of competitors;</w:t>
            </w:r>
          </w:p>
        </w:tc>
      </w:tr>
    </w:tbl>
    <w:p>
      <w:pPr>
        <w:pStyle w:val="TextBody"/>
        <w:bidi w:val="0"/>
        <w:spacing w:before="0" w:after="0"/>
        <w:jc w:val="left"/>
        <w:rPr>
          <w:color w:val="000000"/>
          <w:shd w:fill="FFFFFF" w:val="clear"/>
        </w:rPr>
      </w:pPr>
      <w:r>
        <w:rPr>
          <w:color w:val="000000"/>
          <w:shd w:fill="FFFFFF" w:val="clear"/>
        </w:rPr>
        <w:t> </w:t>
      </w:r>
    </w:p>
    <w:tbl>
      <w:tblPr>
        <w:tblW w:w="5928" w:type="dxa"/>
        <w:jc w:val="left"/>
        <w:tblInd w:w="0" w:type="dxa"/>
        <w:tblLayout w:type="fixed"/>
        <w:tblCellMar>
          <w:top w:w="0" w:type="dxa"/>
          <w:left w:w="0" w:type="dxa"/>
          <w:bottom w:w="0" w:type="dxa"/>
          <w:right w:w="0" w:type="dxa"/>
        </w:tblCellMar>
      </w:tblPr>
      <w:tblGrid>
        <w:gridCol w:w="38"/>
        <w:gridCol w:w="110"/>
        <w:gridCol w:w="578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jc w:val="both"/>
              <w:rPr/>
            </w:pPr>
            <w:r>
              <w:rPr/>
              <w:t>online and omnichannel retail capabilities of our competitors;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competitive pricing strategies, including deep discount pricing by a broad range of retailers during periods of poor customer confidence, low discretionary income, or economic uncertainty;</w:t>
            </w:r>
          </w:p>
        </w:tc>
      </w:tr>
    </w:tbl>
    <w:p>
      <w:pPr>
        <w:pStyle w:val="TextBody"/>
        <w:bidi w:val="0"/>
        <w:spacing w:before="0" w:after="0"/>
        <w:jc w:val="left"/>
        <w:rPr>
          <w:color w:val="000000"/>
          <w:shd w:fill="FFFFFF" w:val="clear"/>
        </w:rPr>
      </w:pPr>
      <w:r>
        <w:rPr>
          <w:color w:val="000000"/>
          <w:shd w:fill="FFFFFF" w:val="clear"/>
        </w:rPr>
        <w:t> </w:t>
      </w:r>
    </w:p>
    <w:tbl>
      <w:tblPr>
        <w:tblW w:w="6378" w:type="dxa"/>
        <w:jc w:val="left"/>
        <w:tblInd w:w="0" w:type="dxa"/>
        <w:tblLayout w:type="fixed"/>
        <w:tblCellMar>
          <w:top w:w="0" w:type="dxa"/>
          <w:left w:w="0" w:type="dxa"/>
          <w:bottom w:w="0" w:type="dxa"/>
          <w:right w:w="0" w:type="dxa"/>
        </w:tblCellMar>
      </w:tblPr>
      <w:tblGrid>
        <w:gridCol w:w="38"/>
        <w:gridCol w:w="110"/>
        <w:gridCol w:w="623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0"/>
              <w:jc w:val="both"/>
              <w:rPr/>
            </w:pPr>
            <w:r>
              <w:rPr/>
              <w:t>continued and prolonged promotional activity by our competitors;</w:t>
            </w:r>
          </w:p>
        </w:tc>
      </w:tr>
    </w:tbl>
    <w:p>
      <w:pPr>
        <w:pStyle w:val="TextBody"/>
        <w:bidi w:val="0"/>
        <w:spacing w:before="0" w:after="0"/>
        <w:jc w:val="left"/>
        <w:rPr>
          <w:color w:val="000000"/>
          <w:shd w:fill="FFFFFF" w:val="clear"/>
        </w:rPr>
      </w:pPr>
      <w:r>
        <w:rPr>
          <w:color w:val="000000"/>
          <w:shd w:fill="FFFFFF" w:val="clear"/>
        </w:rPr>
        <w:t> </w:t>
      </w:r>
    </w:p>
    <w:tbl>
      <w:tblPr>
        <w:tblW w:w="8718" w:type="dxa"/>
        <w:jc w:val="left"/>
        <w:tblInd w:w="0" w:type="dxa"/>
        <w:tblLayout w:type="fixed"/>
        <w:tblCellMar>
          <w:top w:w="0" w:type="dxa"/>
          <w:left w:w="0" w:type="dxa"/>
          <w:bottom w:w="0" w:type="dxa"/>
          <w:right w:w="0" w:type="dxa"/>
        </w:tblCellMar>
      </w:tblPr>
      <w:tblGrid>
        <w:gridCol w:w="38"/>
        <w:gridCol w:w="110"/>
        <w:gridCol w:w="857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0"/>
              <w:jc w:val="both"/>
              <w:rPr/>
            </w:pPr>
            <w:r>
              <w:rPr/>
              <w:t>liquidation sales by our competitors that have filed or may file in the future for bankruptcy;</w:t>
            </w:r>
          </w:p>
        </w:tc>
      </w:tr>
    </w:tbl>
    <w:p>
      <w:pPr>
        <w:pStyle w:val="TextBody"/>
        <w:bidi w:val="0"/>
        <w:spacing w:before="0" w:after="0"/>
        <w:jc w:val="left"/>
        <w:rPr>
          <w:color w:val="000000"/>
          <w:shd w:fill="FFFFFF" w:val="clear"/>
        </w:rPr>
      </w:pPr>
      <w:r>
        <w:rPr>
          <w:color w:val="000000"/>
          <w:shd w:fill="FFFFFF" w:val="clear"/>
        </w:rPr>
        <w:t> </w:t>
      </w:r>
    </w:p>
    <w:tbl>
      <w:tblPr>
        <w:tblW w:w="7368" w:type="dxa"/>
        <w:jc w:val="left"/>
        <w:tblInd w:w="0" w:type="dxa"/>
        <w:tblLayout w:type="fixed"/>
        <w:tblCellMar>
          <w:top w:w="0" w:type="dxa"/>
          <w:left w:w="0" w:type="dxa"/>
          <w:bottom w:w="0" w:type="dxa"/>
          <w:right w:w="0" w:type="dxa"/>
        </w:tblCellMar>
      </w:tblPr>
      <w:tblGrid>
        <w:gridCol w:w="38"/>
        <w:gridCol w:w="110"/>
        <w:gridCol w:w="722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both"/>
              <w:rPr/>
            </w:pPr>
            <w:r>
              <w:rPr/>
              <w:t>geographic expansion by competitors into markets in which we operate;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adoption by existing competitors of innovative store formats or retail sales methods, including online and omnichannel.</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number of our competitors also have greater financial, operational, and other resources, greater brand recognition, longer operating histories, and a broader geographic presence than us.  We may be vulnerable to the marketing power and high level of customer recognition of these larger competitors and to the risk that these or other competitors could attract our customer base, including members of Ollie’s Army.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if any of our competitors were to consolidate their operations, such consolidation may result in competitors with greatly improved financial resources, improved access to merchandise, greater market penetration, and other improvements in their competitive positions, as well as result in the provision of a wider variety of merchandise at competitive prices by these consolidated companies, which could have a material adverse effect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cannot guarantee that we will continue to be able to successfully compete against either existing or future competitors.  Our inability to respond effectively to competitive pressures, improved performance by our competitors, and changes in the retail markets could result in lost market share and could have a material adverse effect on our business, financial condition, and results of operations.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fail to open new profitable stores on a timely basis, successfully enter new markets, or implement other elements of our long-term growth strategy, our financial performance could be materially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primary growth strategy is to open new profitable stores and expand our operations into new geographic regions.  We have opened 131 new stores over the past three years, as we continue to backfill in existing markets and expand into additional geographies.  Our ability to timely open new stores depends in part on several factors, many of which are beyond our control, including the availability of attractive rents and store locations; the absence of occupancy delays; the ability to negotiate and enter into leases with acceptable terms; our ability to obtain and retain permits and licenses; our ability to hire, train, and retain new personnel, especially store managers, in a cost effective manner; our ability to adapt and grow our distribution and other operational and management systems to an increasing and ever evolving network of stores; the availability of capital funding for expansion; our ability to respond to the demographic shifts and general economic conditions in the many different geographic markets where our stores and distribution centers are located.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may not anticipate all of the challenges imposed by the expansion of our business operations into new geographic markets.  Some new stores may be located in areas with different competitive and market conditions, customer tastes, and discretionary spending patterns than our existing markets.  We may face a higher cost of entry, difficulties attracting labor, alternative customer demands, reduced brand recognition, and minimal operating experience in these geographic markets.  Although we are extremely sensitive to cannibalizing existing stores, opening new stores in our established markets may also result in inadvertent oversaturation, sales volume transfer from existing stores to new stores, and reduced comparable store sales, thus adversely affecting our overall results of operations and financial performance.  We may not manage our expansion effectively, and our failure to achieve or properly execute our expansion plans could limit our growth or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not be able to retain the loyalty of our customers, particularly our Ollie’s Army members,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depend on our loyal customer base, particularly our members of Ollie’s Army, for our consistent sales and sales growth.  Competition for customers has intensified as competitors have moved into, or increased their presence in, our geographic markets and from the use of mobile and web-based technology that facilitates online and omnichannel shopping and real-time product and price comparisons.  We expect this competition to continue to increase.  Our competitors may be able to offer consumers promotions or loyalty program incentives that could attract our customers, including members of Ollie’s Army, or divide their loyalty among several retailers.  If we are unable to retain the loyalty of our customers, our net sales could decrease, and we may not be able to grow our store base as planned,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failure to timely acquire, develop, open, and operate, or the loss of, disruption, or interruption in the operations of, our centralized distribution centers could materially adversely affect our business and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With limited exceptions, inventory is shipped directly from suppliers to our distribution centers in York, PA, Commerce, GA, and Lancaster, TX, where the inventory is processed, sorted, and shipped to our stores.  We depend in large part on the orderly operation of this receiving and distribution process, which depends, in turn, on adherence to shipping schedules and effective management of our distribution centers.  Increases in transportation costs (including increases in fuel and other variable costs), supplier-side delays, reductions in the capacity of carriers, changes in shipping companies, the impact of COVID-19 or another pandemic on our workforce, labor strikes, or shortages in the transportation industry, and unexpected delivery interruptions also have the potential to derail our orderly distribution process.  We also may not anticipate changing demands on our distribution system or timely develop and open any necessary additional facilities.  In addition, events beyond our control, such as disruptions in operations due to fire or other catastrophic events or labor disagreements, may result in delays in the delivery of merchandise to our stores.  While we maintain business interruption insurance, in the event one or more our distribution centers are disrupted or shut down for any reason, such insurance may not be sufficient, and any related insurance proceeds may not be timely paid to us.  In addition, our new stores receiving shipments may be further away from our distribution centers, which may increase transportation costs and may create transportation scheduling strains.  Any repeated, intermittent, or long-term disruption in the operations of our distribution centers would hinder our ability to provide merchandise to our stores and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new store growth is dependent on our ability to successfully expand our distribution network capacity, and failure to achieve or sustain these plans could adversely affect our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distribution centers in York, PA, Commerce, GA, and Lancaster, TX, and are completing the construction of our fourth distribution center in Princeton, IL, to support our existing and new stores as well as our store growth objectives. We anticipate the fourth distribution center to be operational in the second half of fiscal 2024. We continuously assess ways to maximize the productivity and efficiency of our existing distribution centers and evaluate opportunities for additional distribution centers.  Processing delays or difficulties in operations at our existing distribution centers or delays in opening, processing delays, or difficulties in operations at our new distribution centers, including our Princeton, IL distribution center, could adversely affect our current operations by causing existing stores to have insufficient inventory, and could adversely affect future operations by slowing store growth, which could, in turn, reduce sales growth.  In addition, any distribution-related construction or expansion projects entail risks which could cause delays and cost overruns, such as shortages of materials, shortages of skilled labor, work stoppages, unforeseen construction issues, scheduling, engineering, environmental or geological problems, or other pandemics or types of contagion, weather interference, fires or other casualty losses, and unanticipated cost increases.  The completion date and ultimate cost of future projects, including our Princeton, IL distribution center, could differ significantly from initial expectations due to construction-related or other reasons.  We cannot guarantee that any project will be completed on time or within established budgets.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are not successful in managing our inventory balances, it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Efficient inventory management is a key component of our profitability and ability to generate revenue.  To be successful, we must maintain sufficient inventory levels and an appropriate product mix to meet our customers’ demands without allowing those levels to increase to such an extent that the costs to store and hold merchandise adversely impact our results of operations.  If our buying decisions do not accurately correspond to customer preferences, if we inappropriately price merchandise, or if our expectations about customer confidence or spending levels are inaccurate, we may have to take unanticipated markdowns to dispose of any excess inventory, which could have a material adverse effect on our business, financial condition, and results of operations.  We continue to focus on ways to reduce these risks, but we cannot ensure that we will be successful in our inventory management.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Inventory shrinkage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the risk of inventory loss and theft.  We cannot ensure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and other costs to combat inventory theft, it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Our success depends on our executive officers, our merchant team, and other key personnel.  If we lose key personnel or are unable to hire additional qualified personnel, it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success depends to a significant degree on the skills, experience and efforts of our executive officers, our merchant team, support center and field management, and other key personnel.  The unexpected loss of services of any of our executive officers, senior members of our merchant team, or senior management could materially adversely affect our business and operations.  Competition for skilled and experienced management in the retail industry is intense, and our future success will depend on our ability to attract and retain qualified personnel, including our merchant team, which is responsible for purchasing, and negotiating the terms of, our merchandise.  Failure to attract new and retain existing qualified personnel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are unable to attract, train, and retain highly qualified managerial personnel and sales associates in our stores and our distribution centers, our sales, financial performance, and business operations may be materially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focus on providing our customers with a memorable and engaging shopping experience.  To grow our operations and meet the needs and expectations of our customers, we must attract, train, and retain a large number of highly qualified store management personnel and sales associates, while controlling labor costs.  Our ability to control labor costs is subject to numerous external factors and compliance with laws and regulatory structures, including competition for, and availability of, qualified personnel in a given market, unemployment levels within those markets, governmental regulatory bodies such as the Equal Employment Opportunity Commission (“EEOC”) and the National Labor Relations Board (“NLRB”), prevailing wage rates and wage and hour laws, minimum wage laws, the impact of legislation governing labor and employee relations or benefits, such as the Affordable Care Act (“ACA”), health insurance costs, healthcare costs (including those related to potential pandemics or disease outbreaks and related testing and vaccination costs), and our ability to maintain good relations with our associates.  We compete with many other retail businesses for many of our store management personnel, and sales associates in hourly and part-time positions.  These positions have had historically high turnover rates, which lead to increased training and retention costs.  We also rely on associates in our distribution centers to ensure the efficient processing and delivery of merchandise from our suppliers to our stores.  If we are unable to attract and retain quality associates and management personnel, fail to comply with the regulations and laws impacting personnel, or have difficulty accurately predicting employee-related costs (including healthcare costs), and establishing accurate budgetary reserves for such costs, it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success depends on our marketing, advertising, and promotional efforts.  If we are unable to implement those efforts successfully, or if our competitors engage in more effective marketing, advertising, and promotional efforts than we are, it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use marketing and promotional programs to attract customers to our stores and to encourage purchases by our customers.  Although we use various media for our promotional efforts, including regular and Ollie’s Army mailers, email campaigns, radio and television advertisements, and sports marketing, we primarily advertise our in-store offerings through printed flyers.  In 2023, over 50% of our advertising spend was for the printing and distribution of flyers.  If the efficacy of printed flyers as an advertising medium declines, or if we fail to successfully develop and implement new marketing, advertising and promotional strategies, such as an effective social media strategy, our competitors may be able to attract the interest of our customers, which could reduce customer traffic in our stores.  Changes in the amount and degree of promotional intensity or merchandising strategy by our competitors could cause us to have difficulties in retaining existing customers and attracting new customers.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the efficacy of our marketing or promotional activities declines, if such activities of our competitors are more effective than ours, or if for any other reason we lose the loyalty of our customers, including our Ollie’s Army members, it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Because our business is seasonal, with the highest volume of net sales during the holiday season, adverse events during our fourth fiscal quarter could materially adversely affect our business, operations, cash flows,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generally recognize our highest volume of net sales in connection with the holiday sales season, which occurs in the fourth quarter of our fiscal year.  In anticipation of the holiday sales season, we purchase substantial amounts of seasonal inventory and hire many part-time associates.  Because a significant percentage of our net sales and operating income are generated in our fourth fiscal quarter, we have limited ability to compensate for shortfalls in our fourth fiscal quarter sales or earnings by changing our operations or strategies in other fiscal quarters.  Adverse events, such as deteriorating economic conditions, higher unemployment, higher gas prices, public transportation disruptions, errors in anticipating consumer demand for our merchandise, or unanticipated adverse or unseasonable weather conditions could result in lower than planned sales during the holiday sales season.  If our fourth fiscal quarter sales results were substantially below expectations, we would realize less cash flows from operations, and may be forced to mark down our merchandise, especially our seasonal merchandise,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business requires that we lease substantial amounts of space and there can be no assurance that we will be able to continue to lease space on terms as favorable as the leases negotiated in the past.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lease the majority of our stores, our corporate headquarters, and our distribution centers in York, PA and Commerce, GA.  Our stores are leased from third parties, with typical initial lease terms of approximately seven years with options to renew for successive five-year periods.  Historically, we have been able to negotiate favorable rental rates due in large part to the general state of the economy, the increased availability of vacant big box retail sites, and our careful identification of favorable lease opportunities.  While we continually seek to identify the most advantageous lease opportunities, there is no guarantee that we will continue to be able to find low-cost second generation sites or obtain favorable lease terms.  Many of our lease agreements have defined escalating rent provisions over the initial term and any extensions.  Increases in our occupancy costs and difficulty in identifying economically suitable new store locations could have significant negative consequences to our business, including without limitation:</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requiring that a greater portion of our available cash be applied to pay our rental obligations, thus reducing cash available for other purposes and reducing profitability;</w:t>
            </w:r>
          </w:p>
        </w:tc>
      </w:tr>
    </w:tbl>
    <w:p>
      <w:pPr>
        <w:pStyle w:val="TextBody"/>
        <w:bidi w:val="0"/>
        <w:spacing w:before="0" w:after="0"/>
        <w:jc w:val="left"/>
        <w:rPr>
          <w:color w:val="000000"/>
          <w:shd w:fill="FFFFFF" w:val="clear"/>
        </w:rPr>
      </w:pPr>
      <w:r>
        <w:rPr>
          <w:color w:val="000000"/>
          <w:shd w:fill="FFFFFF" w:val="clear"/>
        </w:rPr>
        <w:t> </w:t>
      </w:r>
    </w:p>
    <w:tbl>
      <w:tblPr>
        <w:tblW w:w="8238" w:type="dxa"/>
        <w:jc w:val="left"/>
        <w:tblInd w:w="0" w:type="dxa"/>
        <w:tblLayout w:type="fixed"/>
        <w:tblCellMar>
          <w:top w:w="0" w:type="dxa"/>
          <w:left w:w="0" w:type="dxa"/>
          <w:bottom w:w="0" w:type="dxa"/>
          <w:right w:w="0" w:type="dxa"/>
        </w:tblCellMar>
      </w:tblPr>
      <w:tblGrid>
        <w:gridCol w:w="38"/>
        <w:gridCol w:w="110"/>
        <w:gridCol w:w="809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0"/>
              <w:jc w:val="both"/>
              <w:rPr/>
            </w:pPr>
            <w:r>
              <w:rPr/>
              <w:t>increasing our vulnerability to general adverse economic and industry conditions;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limiting our flexibility in planning for, or reacting to changes in, our business, or in the industry in which we compete.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depend on cash flows from operations to pay our lease expenses and to fulfill our other cash needs.  If our business does not generate sufficient cash flows from operating activities to fund these expenses and needs and sufficient funds are not otherwise available to us, we may not be able to service our lease expenses, grow our business, respond to competitive challenges, or fund our other liquidity and capital needs, which could harm our business.  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among other things, paying the base rent for the balance of the lease term.  Moreover, even if a lease has an early cancellation clause, we may not satisfy the contractual requirements for early cancellation under that lease.  In addition, if we are not able to enter into new leases or renew existing leases on terms acceptable to us, this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Risks associated with the current geopolitical climate could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financial condition, and results of operations may differ materially as we cannot predict the impact of the current geopolitical climate.  Risks associated with heightened geopolitical instability include, among others, reductions in consumer confidence, heightened inflation, production disruptions, cyber disruptions or attacks, higher natural gas costs, higher manufacturing costs, and higher supply chain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Climate change may have a long-term impact on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are inherent climate-related risks wherever our business is conducted.  Changes in market dynamics, shareholder expectations, local, national and international climate change policies, and the frequency and intensity of extreme weather events on critical infrastructure in the United States and abroad, all have the potential to disrupt our business and operations.  Global climate change is resulting, and may continue to result, in certain natural disasters and adverse weather, such as drought, wildfires, storms, sea-level rise, and flooding, occurring more frequently or with greater intensity.  These events and their impacts could otherwise disrupt and adversely affect our business and could materially affect our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Natural disasters, whether or not caused by climate change, epidemic or pandemic outbreaks, unusual weather conditions, terrorist acts, and political events could disrupt our business and result in lower sales and otherwise adversely affect our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occurrence of one or more natural disasters, such as tornadoes, hurricanes, fires, floods, and earthquakes, epidemic outbreaks, unusual weather conditions, terrorist attacks or disruptive political events in regions where our stores are located could adversely affect our business and result in lower sales.  Epidemic or pandemic outbreaks, could impact our management and sales associates, our inventory supply, delivery schedules, our ability to keep our stores open due to mandatory governmental restrictions, or may cause our customers to avoid shopping at brick-and-mortar retailers or reduce the number of trips they will make to our stores.  Also, to the extent these events impact one or more of our key suppliers or result in the closure of one or more of our distribution centers or our corporate headquarters, we may be unable to maintain delivery schedules or provide other support functions to our stores.  In addition, severe weather, such as heavy snowfall or extreme temperatures, may discourage or restrict customers in a particular region from traveling to our stores, thereby reducing our sales and profitability.  If severe weather conditions occur during the second or fourth quarter of our fiscal year, the adverse impact to our sales and profitability could be even greater than at other times during the year because we generate a larger portion of our sales and profits during these periods.  Natural disasters, which may include tornadoes, hurricanes, floods, and earthquakes, may impact our stores or other operations.  In addition, climate change may have an impact on the frequency and/or severity of such natural disasters.  We have a growing number of stores in areas that may be impacted by weather events and natural disasters such as the types listed above.  To the extent that such weather events or natural disasters may damage our stores or other operations, we may be unable to operate stores or other facilitates and our consolidated financial results may be materially adversely affected.  This could have a sustained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LEGAL AND REGULATORY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subject to governmental regulations, requirements, and procedures.  A significant change in, or noncompliance with, these regulations, requirements, and procedures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routinely incur significant costs in complying with federal, state, and local laws and regulations.  The complexity of the regulatory environment in which we operate, and the related costs of compliance, are increasing due to expanding and additional legal and regulatory requirements and increased enforcement efforts.  New laws or regulations, including, but not limited to those dealing with healthcare and healthcare reform, product compliance and safety, consumer credit, privacy and information security, the environment, and labor and employment, among others, or changes in existing federal, state, and local laws and regulations, particularly those governing the sale of merchandise and food safety and quality (including changes in labeling or disclosure requirements), federal or state wage requirements, employee rights, health care, social welfare or entitlement programs such as health insurance, paid leave programs, other changes in workplace regulation, and compliance with laws regarding public access to our stores, may result in significant added expenses or may require extensive system and operating changes that may be difficult to implement and/or could materially increase our cost of doing business.  Untimely compliance or noncompliance with applicable laws or regulations or untimely or incomplete execution of a mandated governmental action, such as a product recall, can result in the imposition of penalties, including loss of licenses or significant fines or monetary penalties, or class action litigation or other litigation, in addition to reputational damage.  Additionally, changes in tax laws, the interpretation of existing laws, or our failure to sustain our reporting positions on examination could materially adversely affect our effective tax rate and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fail to protect our intellectual property portfolio, including without limitation brand names and other trademarks, the value of these assets may be diluted.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may be unable or unwilling to strictly enforce our intellectual property in each jurisdiction in which we do business.  For example, we may not always be able to successfully enforce our trademarks against competitors or against challenges by others, and our failure to successfully protect our trademarks could diminish the value and efficacy of our brand recognition and may cause customer confusion.  Any failure to adequately protect or manage our intellectual property portfolio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rely on manufacturers located in foreign countries for merchandise and a significant amount of our domestically-purchased merchandise is manufactured abroad.  Our business may be materially adversely affected by legal and regulatory risks associated with international trade.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purchase merchandise directly from suppliers located outside of the United States.  In 2023, substantially all of our private label inventory purchases were direct imports.  Additionally, a significant amount of our domestically purchased merchandise is manufactured in foreign countries.  Our ability to identify qualified suppliers and to access merchandise in a timely and efficient manner is a significant challenge, especially with respect to merchandise sourced outside of North America.  Global sourcing and foreign trade involve numerous factors and uncertainties beyond our control, including possible changes to U.S. trade policy, increased shipping costs, the timing of shipments, increased import duties, more restrictive quotas, loss of most favored nation trading status, currency exchange rates, work stoppages, transportation delays, port of entry issues, economic uncertainties such as inflation, foreign government regulations, political unrest, natural disasters, war, terrorism, trade restrictions, political instability, the financial stability of vendors, merchandise quality issues, unexpected contagion, existing viruses or illnesses, and tariffs.  Moreover, negative press or reports about internationally manufactured merchandise may sway public opinion, and thus customer confidence, away from affected merchandise sold in our stores.  Although we have implemented and maintain policies and procedures to promote our suppliers’ compliance with laws and regulations relating to foreign markets and imports, and to monitor the compliance of our suppliers, this does not guarantee that suppliers and other third parties with whom we do business will not actually or allegedly violate such laws or regulations, or our policies.  These and other issues affecting our international vendors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cost of compliance with product safety regulations and risks related to product liability claims, lawsuits, and product recalls could damage our reputation, increase our cost of doing business, and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Federal and state legislation, including new product safety laws and regulations, may negatively impact our operations.  Future changes in product safety laws or regulations may lead to product recalls and the disposal or write-off of merchandise.  While we work to comply in all material respects with applicable laws and regulations, and to execute product recalls in a timely manner, if our merchandise does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  We also purchase a material portion of our merchandise on a closeout basis.  Some of this merchandise is obtained through brokers or intermediaries rather than directly from manufacturers.  The closeout nature of a portion of our business sometimes makes it more difficult for us to investigate all aspects of this merchandise.  Furthermore, customers have asserted claims, and may in the future assert claims, that they have sustained injuries from merchandise purchased from us, and we may be subject to lawsuits relating to these claims.  There is a risk that these claims may exceed, or fall outside the scope of, our insurance coverage.  Even with adequate insurance and indemnification from third-party suppliers, such claims, even if unsuccessful or not fully pursued, could significantly damage our reputation and customer confidence in our merchandise.  If this occurs, it may be difficult for us to regain lost sales,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current insurance program may expose us to unexpected costs and negatively affect our financial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insurance coverage reflects deductibles, self-insured retentions, limits of liability, and similar provisions that we believe are prudent based on the nature of our operations.  However, there are types of losses we may incur but against which we cannot be insured or which we believe are not economically reasonable to insure, such as losses due to acts of war, employee and certain other crimes, wage and hour claims, and certain other employment-related claims, public accommodation claims, class actions, shareholder claims, and some natural disasters.  If we incur these losses and they are material, our business could suffer.  Certain material events may result in sizable losses for the insurance industry and adversely impact the availability of adequate insurance coverage or result in excessive premium increases.  To offset negative insurance market trends, we may elect to self-insure, accept higher deductibles, or reduce the amount of coverage in response to these market changes.  In addition, we self-insure a significant portion of expected losses under our workers’ compensation, general liability, and group health insurance programs.  Unanticipated changes in any applicable actuarial assumptions and management estimates underlying our recorded liabilities for these losses, including expected increases in medical and indemnity costs, could result in materially different expenses than expected under these programs, which could have a material adverse effect on our results of operations and financial condition.  We maintain insurance for catastrophic events at our store support center, distribution centers, and stores.  In addition, because of ongoing changes in healthcare law, among other items, we may experience an increase in participation in our group health insurance programs, which may lead to a greater number of medical and related claims.  While we have coverage for some cyber-related incidents, the nature and scope of any potential attack or breach may result in substantial costs that could exceed the scope of coverage or limits of coverage.  If we experience a greater number of these losses than we anticipate, it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face litigation risks from customers, associates, suppliers, stockholders, and other third parties in the ordinary course of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is subject to the risk of litigation by customers, current and former associates, suppliers, stockholders, intellectual property rights holders, government agencies, and others, through private actions, class actions, collective actions, administrative proceedings, regulatory actions, or other litigation.  From time to time, such lawsuits are filed against us and the outcome of any litigation, particularly class or collective action lawsuits and regulatory actions, is difficult to assess or quantify.  Plaintiffs in these types of lawsuits may seek recovery of very large or indeterminate amounts, and the magnitude of the potential losses relating to such lawsuits may remain unknown for substantial periods of time.  The cost to defend any such lawsuits may be significant and may negatively affect our operating results if changes to our business operations are required.  There may also be negative publicity associated with litigation that could decrease customer acceptance of merchandise offerings, regardless of whether the allegations are valid or whether we are ultimately found liable.  As a result, litigation could have a material adverse effect on our business, financial condition, liquidity,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TECHNOLOGY AND CYBERSECURITY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Any disruptions to our information technology systems or breaches of our network security could disrupt or interrupt our operations, compromise our reputation, expose us to litigation, government enforcement actions, and costly response measures and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rely on the integrity, security, and successful functioning of our information technology systems and network infrastructure across our operations, including point-of-sale processing at our stores.  In connection with sales, we transmit encrypted confidential credit and debit card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compliant with the Payment Card Industry Data Security Standard (“PCI”) issued by the Payment Card Industry Security Standards Council.  However, there can be no assurance that in the future we will be able to operate our facilities and our customer service and sales operations in accordance with PCI or other industry recommended or contractually required practices.  We expect to incur additional expenses, and the time and effort of our information technology staff, to maintain PCI compliance.  Even though we are compliant with such standards, we still may not be able to prevent or timely detect security breaches.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 increasingly significant portion of our sales depends on the continuing operation of our information technology and communications systems, including, but not limited to, our point-of-sale system and our credit card processing systems.  Our information technology, communications systems, and electronic data may be vulnerable to damage or interruption from computer viruses, ransomware attacks, loss of data, unauthorized data breaches, usage errors by our associates or our contractors or other attempts to harm our systems, including cyber-security attacks or other breaches of cardholder data, earthquakes, acts of war or terrorist attacks, floods, fires, tornadoes, hurricanes, power loss and outages, computer, and telecommunications failures.  Some of our systems are not fully redundant, and our disaster recovery planning cannot account for all eventualities.  The occurrence of intentional sabotage, unauthorized access, natural disaster, or other unanticipated problems could result in lengthy interruptions in our service.  Any errors or vulnerabilities in our systems, or damage to or failure of our systems, could result in interruptions in our services, non-compliance with certain regulations, substantial remediation costs, and liability for lost or stolen information, any of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Data protection requirements increase our operating costs, and a breach in information privacy or other related risks could negatively impact our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access to, collect, or maintain private or confidential information regarding our customers, associates, and suppliers, as well as our business.  The protection of our customer, associate, supplier, and company data is critical to us.  In recent years, there has been increasing regulation, enforcement, and litigation activity in the area of privacy, data protection, and information security in the United States and in various other countries, with the frequent imposition of new and changing requirements across the many states in which we conduct our business.  State privacy laws and regulations, such as The Connecticut Data Privacy Act, the New York Privacy Act, and The California Consumer Privacy Act of 2018, and others, have imposed and likely will impose additional data protection obligations on companies considered to be doing business in such applicable states and provides for substantial fines for non-compliance and, in some cases, a private right of action to consumers who are victims of data breaches.  Complying with existing laws and similar emerging and changing privacy, data protection, and information security requirements may cause us to incur substantial costs or compliance risks due to, among other things, system changes and the development of new processes and business initiatives.  Our failure to comply with privacy, data protection, and information security laws could result in potentially significant regulatory and/or governmental investigations and/or actions, litigation, fines, sanctions, ongoing regulatory monitoring, and customer attrition.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our customers have a high expectation that we will adequately protect their personal information from cyber-attack or other security breaches.  We have procedures in place to evaluate the integrity of our systems, and to safeguard such data and information.  However, the landscape is evolving at a rapid pace, and we may be unable to effectively anticipate or respond to attacks to or breaches of our security systems or implement adequate preventative measures.  A breach of customer, employee, supplier, or company data could attract a substantial amount of negative media attention, damage our customer and supplier relationships and our reputation, and result in lost sales, costly fines, other expenses, and/or lawsuits, any of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we are unable to maintain or upgrade our information technology systems or if we are unable to convert to alternate systems in an efficient and timely manner, our operations may be disrupted or become less efficient.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depend on a variety of information technology systems for the efficient functioning of our business.  We rely on certain hardware, telecommunications, and software vendors to maintain and periodically upgrade many of these systems so that we can continue to support our business.  Various components of our information technology systems, including hardware, networks, and software, are licensed to us by third party vendors.  We rely extensively on our information technology systems to process transactions, summarize results, and manage our business.  We are in compliance with PCI, and compliance with PCI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PCI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our information technology systems are damaged or cease to function properly, we may have to make a significant investment to fix or replace them.  If there are amendments to PCI, the cost of re-compliance could also be substantial, and we may suffer loss of critical data and interruptions or delays in our operations as a result.  In addition, we may have to upgrade our existing information technology systems from time to time in order for such systems to withstand the increasing needs of our expanding business.  Costs and potential interruptions associated with the implementation of new or upgraded systems and technology or with maintenance or adequate support of our existing systems could disrupt or reduce the efficiency of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ACCOUNTING AND FINANCIAL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our estimates or judgments relating to our significant accounting policies prove to be incorrect, our operating results could be adversely affected.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financial statements in conformity with U.S. Generally Accepted Accounting Principles (“GAAP”) requires management to make estimates and assumptions that affect the amounts reported in the accompanying consolidated financial statements and notes.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to accounting rules or regulations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Changes to existing accounting rules or regulations may impact our future results of operations or cause the perception that we are more highly leveraged.  Other new accounting rules or regulations and varying interpretations of existing accounting rules or regulations have occurred and may occur in the future.  Future changes to accounting rules or regulations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RISKS RELATED TO COMMON STOCK AND CORPORATE GOVERNANCE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Because we are a public company, our management is required to devote substantial time to compliance and governance initiatives and issues.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Sarbanes-Oxley Act and rules implemented by the SEC and the NASDAQ Stock Market LLC (“NASDAQ”) have imposed various requirements on public companies, including establishment and maintenance of effective disclosure and financial controls and corporate governance practices.  Implementing and maintaining internal controls is both time consuming and costly.  If we fail to maintain an effective internal control environment or to comply with the numerous legal and regulatory requirements imposed on public companies, we could make material errors in, and be required to restate, our financial statements.  Any such restatement could result in a loss of public confidence in the reliability of our financial statements and sanctions imposed on us by the SEC.  If we are unable to satisfy our obligations as a public company, we could be subject to, among other items, the delisting of our common stock, fines, sanctions, and other regulatory actions, as well as potential civil litigation.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Anti-takeover provisions in our third amended and restated certificate of incorporation and fourth amended and restated bylaws and under Delaware law could make an acquisition of us more difficult, limit attempts by our stockholders to replace or remove our current management and limit the market price of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Provisions in our third amended and restated certificate of incorporation and fourth amended and restated bylaws may have the effect of delaying or preventing a change of control or changes in our management.  Our third amended and restated certificate of incorporation and fourth amended and restated bylaws include provisions that:</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authorize the Company’s Board of Directors (the “Board”) to issue, without further action by the stockholders, up to 50,000,000 shares of undesignated preferred stock;</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subject to certain exceptions, require that any action to be taken by our stockholders be affected at a duly called annual or special meeting of stockholders, and not by written consent;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specify that special meetings of our stockholders can be called only by a majority of our Board, or upon the request of the Chairperson of the Board or the Chief Executive Officer;</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establish an advance notice procedure for stockholder proposals to be brought before an annual meeting, including proposed nominations of persons for election to our Board;</w:t>
            </w:r>
          </w:p>
        </w:tc>
      </w:tr>
    </w:tbl>
    <w:p>
      <w:pPr>
        <w:pStyle w:val="TextBody"/>
        <w:bidi w:val="0"/>
        <w:spacing w:before="0" w:after="0"/>
        <w:jc w:val="left"/>
        <w:rPr>
          <w:color w:val="000000"/>
          <w:shd w:fill="FFFFFF" w:val="clear"/>
        </w:rPr>
      </w:pPr>
      <w:r>
        <w:rPr>
          <w:color w:val="000000"/>
          <w:shd w:fill="FFFFFF" w:val="clear"/>
        </w:rPr>
        <w:t> </w:t>
      </w:r>
    </w:p>
    <w:tbl>
      <w:tblPr>
        <w:tblW w:w="5643" w:type="dxa"/>
        <w:jc w:val="left"/>
        <w:tblInd w:w="0" w:type="dxa"/>
        <w:tblLayout w:type="fixed"/>
        <w:tblCellMar>
          <w:top w:w="0" w:type="dxa"/>
          <w:left w:w="0" w:type="dxa"/>
          <w:bottom w:w="0" w:type="dxa"/>
          <w:right w:w="0" w:type="dxa"/>
        </w:tblCellMar>
      </w:tblPr>
      <w:tblGrid>
        <w:gridCol w:w="38"/>
        <w:gridCol w:w="110"/>
        <w:gridCol w:w="54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0"/>
              <w:jc w:val="both"/>
              <w:rPr/>
            </w:pPr>
            <w:r>
              <w:rPr/>
              <w:t>prohibit cumulative voting in the election of directors;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provide that vacancies on our Board may be filled only by a majority of directors then in office, even though less than a quorum.</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provisions may frustrate or prevent any attempts by our stockholders to replace or remove our current management by making it more difficult for stockholders to replace members of our Board, which is responsible for appointing the members of our management.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third amended and restated certificate of incorporation designates the Court of Chancery of the State of Delaware as the exclusive forum for certain litigation that may be initiated by our stockholders, which could increase costs of bringing a claim, discourage claims, or limit our stockholders’ ability to obtain a favorable judicial forum for disputes with us or our directors, officers, or employees.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certificate of incorporation provides that, unless we consent in writing in advance to the selection of an alternative forum, the Court of Chancery of the State of Delaware is the sole and exclusive forum, to the fullest extent provided by law, for the following types of actions or proceedings:</w:t>
      </w:r>
    </w:p>
    <w:p>
      <w:pPr>
        <w:pStyle w:val="TextBody"/>
        <w:bidi w:val="0"/>
        <w:spacing w:before="0" w:after="0"/>
        <w:jc w:val="left"/>
        <w:rPr>
          <w:color w:val="000000"/>
          <w:shd w:fill="FFFFFF" w:val="clear"/>
        </w:rPr>
      </w:pPr>
      <w:r>
        <w:rPr>
          <w:color w:val="000000"/>
          <w:shd w:fill="FFFFFF" w:val="clear"/>
        </w:rPr>
        <w:t> </w:t>
      </w:r>
    </w:p>
    <w:tbl>
      <w:tblPr>
        <w:tblW w:w="6903" w:type="dxa"/>
        <w:jc w:val="left"/>
        <w:tblInd w:w="0" w:type="dxa"/>
        <w:tblLayout w:type="fixed"/>
        <w:tblCellMar>
          <w:top w:w="0" w:type="dxa"/>
          <w:left w:w="0" w:type="dxa"/>
          <w:bottom w:w="0" w:type="dxa"/>
          <w:right w:w="0" w:type="dxa"/>
        </w:tblCellMar>
      </w:tblPr>
      <w:tblGrid>
        <w:gridCol w:w="38"/>
        <w:gridCol w:w="110"/>
        <w:gridCol w:w="67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0"/>
              <w:jc w:val="both"/>
              <w:rPr/>
            </w:pPr>
            <w:r>
              <w:rPr/>
              <w:t>any derivative action or proceeding brought on behalf of the Company;</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any action asserting a claim of breach of a fiduciary duty owed by, or any wrongdoing by, any director, officer, or employee of the Company to the Company, or the Company’s stockholders;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any action asserting a claim arising pursuant to any provision of the Delaware General Corporate Law, the certification of incorporation (as it may be amended from time to time), or the fourth amended and restated bylaws;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any action to interpret, apply, enforce, or determine the validity of our certificate of incorporation or the fourth amended and restated bylaws; or</w:t>
            </w:r>
          </w:p>
        </w:tc>
      </w:tr>
    </w:tbl>
    <w:p>
      <w:pPr>
        <w:pStyle w:val="TextBody"/>
        <w:bidi w:val="0"/>
        <w:spacing w:before="0" w:after="0"/>
        <w:jc w:val="left"/>
        <w:rPr>
          <w:color w:val="000000"/>
          <w:shd w:fill="FFFFFF" w:val="clear"/>
        </w:rPr>
      </w:pPr>
      <w:r>
        <w:rPr>
          <w:color w:val="000000"/>
          <w:shd w:fill="FFFFFF" w:val="clear"/>
        </w:rPr>
        <w:t> </w:t>
      </w:r>
    </w:p>
    <w:tbl>
      <w:tblPr>
        <w:tblW w:w="6663" w:type="dxa"/>
        <w:jc w:val="left"/>
        <w:tblInd w:w="0" w:type="dxa"/>
        <w:tblLayout w:type="fixed"/>
        <w:tblCellMar>
          <w:top w:w="0" w:type="dxa"/>
          <w:left w:w="0" w:type="dxa"/>
          <w:bottom w:w="0" w:type="dxa"/>
          <w:right w:w="0" w:type="dxa"/>
        </w:tblCellMar>
      </w:tblPr>
      <w:tblGrid>
        <w:gridCol w:w="38"/>
        <w:gridCol w:w="110"/>
        <w:gridCol w:w="65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0"/>
              <w:jc w:val="both"/>
              <w:rPr/>
            </w:pPr>
            <w:r>
              <w:rPr/>
              <w:t>any action asserting a claim governed by the internal affairs doctrine.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Application of the choice of forum provision may be limited in some instances by law.  Section 27 of the Securities Exchange Act of 1934 (“Exchange Act”) provides for exclusive federal court jurisdiction over Exchange Act claims.  Accordingly, to the extent the exclusive forum provision is held to cover a shareholder derivative action asserting claims under the Exchange Act, such claims could not be brought in the Delaware Court of Chancery and would instead be within the jurisdiction of the federal district court for the District of Delaware.  Section 22 of the Securities Act of 1933 (“Securities Act”) creates concurrent jurisdiction for federal and state courts over all suits brought to enforce any duty or liability created by the Securities Act or the rules and regulations thereunder.  Moreover, our stockholders will not be deemed by operation of our choice of forum provision to have waived our compliance with the federal securities laws and the regulations promulgated thereunder.  It is also possible that, notwithstanding the forum selection clause, a court could rule that such a provision is inapplicable or unenforceable, which could have a material adverse effect on our business, financial condition, and adversely impact our results of operations, financial position, and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If securities analysts or industry analysts downgrade our shares, publish negative research or reports, or do not publish reports about our business, our share price and trading volume could decline.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trading market for our common stock is to some extent influenced by the research and reports that industry or securities analysts publish about us, our business, and our industry.  If no or few analysts commence coverage of us, the trading price of our stock could decrease.  Even if we do obtain analyst coverage, if one or more analysts adversely change their recommendation regarding our shares or our competitors’ stock, our share price might decline.  If one or more analysts cease coverage of us or fail to regularly publish reports on us, we might lose visibility in the financial markets, which, in turn, could cause our share price or trading volume to decline.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Future sales of our common stock in the public market could cause the market price of our common stock to decrease significantly.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of substantial amounts of our common stock in the public market by our existing stockholders or upon the exercise of outstanding stock options or grant of stock options or restricted stock units in the future may cause the market price of our common stock to decrease significantly.  As of February 3, 2024, we have an aggregate of 1,470,288 shares of common stock issuable upon exercise of outstanding options and the vesting of restricted stock units under the 2015 Equity Incentive Plan (the “2015 Plan” and together with the 2012 Equity Incentive Plan, the “Equity Plans”) (582,221 of which are fully vested).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perception that such sales could occur could also depress the market price of our common stock.  Any such sales could also create public perception of difficulties or problems with our business and might also make it more difficult for us to raise capital through the sale of equity securities in the future at a time and price that we deem appropriate.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stock price has been and may continue to be volatile.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market price of our common stock has fluctuated substantially in the past and may continue to fluctuate significantly.  For example, during the fiscal year ended February 3, 2024, our stock price fluctuated from a high of $83.19 to a low of $50.95.  Future announcements or disclosures concerning us or any of our competitors, our strategic initiatives, our sales and profitability, our financial condition, any quarterly variations in actual or anticipated operating results or comparable sales, any failure to meet analysts’ expectations and sales of large blocks of our common stock, among other factors, could cause the market price of our common stock to fluctuate substantially.  In addition, the stock market has experienced price and volume fluctuations that have affected the market price of many retail and other stocks that have often been unrelated or disproportionate to the operating performance of these companies.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are a holding company and rely on dividends and other payments, advances, and transfers of funds from our subsidiaries to meet our obligations and pay any dividends.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no direct operations and no significant assets other than ownership of 100% of the capital stock of our subsidiaries.  Because we conduct operations through our subsidiaries, we depend on those entities for dividends and other payments to generate the funds necessary to meet our financial obligations and to pay any dividends with respect to our common stock.  Legal and contractual restrictions in the Credit Facility (defined below)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do not expect to pay any cash dividends for the foreseeable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continued operation and expansion of our business will require substantial funding.  We do not anticipate that we will pay any dividends to holders of our common stock for the foreseeable future.  Any payment of cash dividends will be at the discretion of our Board and will depend on our financial condition, capital requirements, legal requirements, earnings, and other factors.  Our ability to pay dividends is restricted by the terms of our Credit Facility and might be restricted by the terms of any indebtedness that we incur in the future.  Accordingly, realization of any gain on our common stock will depend on the appreciation of the price of the shares of our common stock, which may never occur.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Our business and reputation may be adversely affected by environmental, social and governance matters.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Investor and regulatory focus has intensified with respect to certain environmental, social, and governance (“ESG”) matters.  These matters include, among others, efforts and mitigation of the impact of climate change, human rights matters, ethics and compliance with law, diversity, equity and inclusion, and the role of the Board in supervising various ESG and sustainability issues.  Additionally, in the retail industry, the materials used in the merchandise we sell as well as where we source our merchandise is of particular importance.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Further, investment in funds that specialize in companies that perform well in ESG assessments have gained popularity, and several major institutional investors and advisors have publicly emphasized the importance of ESG measures to their investment decisions and recommendations.  Investors who are focused on ESG matters may seek enhanced disclosures or require implementation of policies and procedures that may be adverse to our business, and there can be no assurances that shareholders will not advocate, via proxy contests, media campaigns, or by other public or private means, for us to take more ESG focused actions on an accelerated timeline.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can be no certainty that we will successfully navigate or manage all of the ESG issues, or that we will successfully meet the expectations of investors or others.  Any failure or perceived failure by us in this regard could have a material adverse effect on our reputation with governments, customers, employees, other third parties and the communities and industries in which we operate, as well as on our business, share price, financial condition, access to capital, or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INDEBTEDNESS AND CAPITALIZATION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Indebtedness may limit our ability to invest in the ongoing needs of our business, and if we are unable to comply with our financial covenants, it could have a material adverse effect on our liquidity and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credit facility (the “Credit Facility”) provides for a five-year $100.0 million revolving credit facility, which includes a $45.0 million sub-facility for letters of credit and a $25.0 million sub-facility for swingline loans (the “Revolving Credit Facility”).  As of February 3, 2024, we had no outstanding borrowings on the Revolving Credit Facility, with $90.0 million of borrowing availability.  We may, from time to time, incur additional indebtedness.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agreements governing our Credit Facility place certain conditions on us, including restrictions that may, among other items:</w:t>
      </w:r>
    </w:p>
    <w:p>
      <w:pPr>
        <w:pStyle w:val="TextBody"/>
        <w:bidi w:val="0"/>
        <w:spacing w:before="0" w:after="0"/>
        <w:jc w:val="left"/>
        <w:rPr>
          <w:color w:val="000000"/>
          <w:shd w:fill="FFFFFF" w:val="clear"/>
        </w:rPr>
      </w:pPr>
      <w:r>
        <w:rPr>
          <w:color w:val="000000"/>
          <w:shd w:fill="FFFFFF" w:val="clear"/>
        </w:rPr>
        <w:t> </w:t>
      </w:r>
    </w:p>
    <w:tbl>
      <w:tblPr>
        <w:tblW w:w="7488" w:type="dxa"/>
        <w:jc w:val="left"/>
        <w:tblInd w:w="0" w:type="dxa"/>
        <w:tblLayout w:type="fixed"/>
        <w:tblCellMar>
          <w:top w:w="0" w:type="dxa"/>
          <w:left w:w="0" w:type="dxa"/>
          <w:bottom w:w="0" w:type="dxa"/>
          <w:right w:w="0" w:type="dxa"/>
        </w:tblCellMar>
      </w:tblPr>
      <w:tblGrid>
        <w:gridCol w:w="38"/>
        <w:gridCol w:w="110"/>
        <w:gridCol w:w="734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both"/>
              <w:rPr/>
            </w:pPr>
            <w:r>
              <w:rPr/>
              <w:t>increase our vulnerability to adverse general economic or industry conditions;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limit our flexibility in planning for, or reacting to, changes in our business or the industries in which we operate;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make us more vulnerable to increases in interest rates, as borrowings under our Credit Facility are at variable rates;</w:t>
            </w:r>
          </w:p>
        </w:tc>
      </w:tr>
    </w:tbl>
    <w:p>
      <w:pPr>
        <w:pStyle w:val="TextBody"/>
        <w:bidi w:val="0"/>
        <w:spacing w:before="0" w:after="0"/>
        <w:jc w:val="left"/>
        <w:rPr>
          <w:color w:val="000000"/>
          <w:shd w:fill="FFFFFF" w:val="clear"/>
        </w:rPr>
      </w:pPr>
      <w:r>
        <w:rPr>
          <w:color w:val="000000"/>
          <w:shd w:fill="FFFFFF" w:val="clear"/>
        </w:rPr>
        <w:t> </w:t>
      </w:r>
    </w:p>
    <w:tbl>
      <w:tblPr>
        <w:tblW w:w="9258" w:type="dxa"/>
        <w:jc w:val="left"/>
        <w:tblInd w:w="0" w:type="dxa"/>
        <w:tblLayout w:type="fixed"/>
        <w:tblCellMar>
          <w:top w:w="0" w:type="dxa"/>
          <w:left w:w="0" w:type="dxa"/>
          <w:bottom w:w="0" w:type="dxa"/>
          <w:right w:w="0" w:type="dxa"/>
        </w:tblCellMar>
      </w:tblPr>
      <w:tblGrid>
        <w:gridCol w:w="38"/>
        <w:gridCol w:w="110"/>
        <w:gridCol w:w="911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both"/>
              <w:rPr/>
            </w:pPr>
            <w:r>
              <w:rPr/>
              <w:t>limit our ability to obtain additional financing in the future for working capital or other purposes;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require us to utilize our cash flows from operations to make payments on indebtedness, reducing the availability of our cash flows to fund working capital, capital expenditures, development activity, and other general corporate purposes; and</w:t>
            </w:r>
          </w:p>
        </w:tc>
      </w:tr>
    </w:tbl>
    <w:p>
      <w:pPr>
        <w:pStyle w:val="TextBody"/>
        <w:bidi w:val="0"/>
        <w:spacing w:before="0" w:after="0"/>
        <w:jc w:val="left"/>
        <w:rPr>
          <w:color w:val="000000"/>
          <w:shd w:fill="FFFFFF" w:val="clear"/>
        </w:rPr>
      </w:pPr>
      <w:r>
        <w:rPr>
          <w:color w:val="000000"/>
          <w:shd w:fill="FFFFFF" w:val="clear"/>
        </w:rPr>
        <w:t> </w:t>
      </w:r>
    </w:p>
    <w:tbl>
      <w:tblPr>
        <w:tblW w:w="9198" w:type="dxa"/>
        <w:jc w:val="left"/>
        <w:tblInd w:w="0" w:type="dxa"/>
        <w:tblLayout w:type="fixed"/>
        <w:tblCellMar>
          <w:top w:w="0" w:type="dxa"/>
          <w:left w:w="0" w:type="dxa"/>
          <w:bottom w:w="0" w:type="dxa"/>
          <w:right w:w="0" w:type="dxa"/>
        </w:tblCellMar>
      </w:tblPr>
      <w:tblGrid>
        <w:gridCol w:w="38"/>
        <w:gridCol w:w="110"/>
        <w:gridCol w:w="905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both"/>
              <w:rPr/>
            </w:pPr>
            <w:r>
              <w:rPr/>
              <w:t>place us at a competitive disadvantage compared to our competitors that have less indebtedness.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Credit Facility places certain limitations on our ability to incur additional indebtedness.  However, subject to the qualifications and exceptions in our Credit Facility, we may be permitted to incur substantial additional indebtedness and may incur obligations that do not constitute indebtedness under the terms of the Credit Facility.  Our Credit Facility also places certain limitations on, among other items, our ability to enter into certain types of transactions, financing arrangements and investments, to make certain changes to our capital structure, and to guarantee certain indebtedness.  Our Credit Facility also places certain restrictions on the payment of dividends and distributions, as well as certain management fees.  These restrictions limit or prohibit, among other things, our ability to:</w:t>
      </w:r>
    </w:p>
    <w:p>
      <w:pPr>
        <w:pStyle w:val="TextBody"/>
        <w:bidi w:val="0"/>
        <w:spacing w:before="0" w:after="0"/>
        <w:jc w:val="left"/>
        <w:rPr>
          <w:color w:val="000000"/>
          <w:shd w:fill="FFFFFF" w:val="clear"/>
        </w:rPr>
      </w:pPr>
      <w:r>
        <w:rPr>
          <w:color w:val="000000"/>
          <w:shd w:fill="FFFFFF" w:val="clear"/>
        </w:rPr>
        <w:t> </w:t>
      </w:r>
    </w:p>
    <w:tbl>
      <w:tblPr>
        <w:tblW w:w="7638" w:type="dxa"/>
        <w:jc w:val="left"/>
        <w:tblInd w:w="0" w:type="dxa"/>
        <w:tblLayout w:type="fixed"/>
        <w:tblCellMar>
          <w:top w:w="0" w:type="dxa"/>
          <w:left w:w="0" w:type="dxa"/>
          <w:bottom w:w="0" w:type="dxa"/>
          <w:right w:w="0" w:type="dxa"/>
        </w:tblCellMar>
      </w:tblPr>
      <w:tblGrid>
        <w:gridCol w:w="38"/>
        <w:gridCol w:w="110"/>
        <w:gridCol w:w="749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0"/>
              <w:jc w:val="both"/>
              <w:rPr/>
            </w:pPr>
            <w:r>
              <w:rPr/>
              <w:t>pay dividends on, redeem, or repurchase our stock, or make other distributions;</w:t>
            </w:r>
          </w:p>
        </w:tc>
      </w:tr>
    </w:tbl>
    <w:p>
      <w:pPr>
        <w:pStyle w:val="TextBody"/>
        <w:bidi w:val="0"/>
        <w:spacing w:before="0" w:after="0"/>
        <w:jc w:val="left"/>
        <w:rPr>
          <w:color w:val="000000"/>
          <w:shd w:fill="FFFFFF" w:val="clear"/>
        </w:rPr>
      </w:pPr>
      <w:r>
        <w:rPr>
          <w:color w:val="000000"/>
          <w:shd w:fill="FFFFFF" w:val="clear"/>
        </w:rPr>
        <w:t> </w:t>
      </w:r>
    </w:p>
    <w:tbl>
      <w:tblPr>
        <w:tblW w:w="4218" w:type="dxa"/>
        <w:jc w:val="left"/>
        <w:tblInd w:w="0" w:type="dxa"/>
        <w:tblLayout w:type="fixed"/>
        <w:tblCellMar>
          <w:top w:w="0" w:type="dxa"/>
          <w:left w:w="0" w:type="dxa"/>
          <w:bottom w:w="0" w:type="dxa"/>
          <w:right w:w="0" w:type="dxa"/>
        </w:tblCellMar>
      </w:tblPr>
      <w:tblGrid>
        <w:gridCol w:w="38"/>
        <w:gridCol w:w="110"/>
        <w:gridCol w:w="407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0"/>
              <w:jc w:val="both"/>
              <w:rPr/>
            </w:pPr>
            <w:r>
              <w:rPr/>
              <w:t>incur or guarantee additional indebtedness;</w:t>
            </w:r>
          </w:p>
        </w:tc>
      </w:tr>
    </w:tbl>
    <w:p>
      <w:pPr>
        <w:pStyle w:val="TextBody"/>
        <w:bidi w:val="0"/>
        <w:spacing w:before="0" w:after="0"/>
        <w:jc w:val="left"/>
        <w:rPr>
          <w:color w:val="000000"/>
          <w:shd w:fill="FFFFFF" w:val="clear"/>
        </w:rPr>
      </w:pPr>
      <w:r>
        <w:rPr>
          <w:color w:val="000000"/>
          <w:shd w:fill="FFFFFF" w:val="clear"/>
        </w:rPr>
        <w:t> </w:t>
      </w:r>
    </w:p>
    <w:tbl>
      <w:tblPr>
        <w:tblW w:w="2883" w:type="dxa"/>
        <w:jc w:val="left"/>
        <w:tblInd w:w="0" w:type="dxa"/>
        <w:tblLayout w:type="fixed"/>
        <w:tblCellMar>
          <w:top w:w="0" w:type="dxa"/>
          <w:left w:w="0" w:type="dxa"/>
          <w:bottom w:w="0" w:type="dxa"/>
          <w:right w:w="0" w:type="dxa"/>
        </w:tblCellMar>
      </w:tblPr>
      <w:tblGrid>
        <w:gridCol w:w="38"/>
        <w:gridCol w:w="110"/>
        <w:gridCol w:w="2735"/>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0"/>
              <w:jc w:val="both"/>
              <w:rPr/>
            </w:pPr>
            <w:r>
              <w:rPr/>
              <w:t>sell stock in our subsidiaries;</w:t>
            </w:r>
          </w:p>
        </w:tc>
      </w:tr>
    </w:tbl>
    <w:p>
      <w:pPr>
        <w:pStyle w:val="TextBody"/>
        <w:bidi w:val="0"/>
        <w:spacing w:before="0" w:after="0"/>
        <w:jc w:val="left"/>
        <w:rPr>
          <w:color w:val="000000"/>
          <w:shd w:fill="FFFFFF" w:val="clear"/>
        </w:rPr>
      </w:pPr>
      <w:r>
        <w:rPr>
          <w:color w:val="000000"/>
          <w:shd w:fill="FFFFFF" w:val="clear"/>
        </w:rPr>
        <w:t> </w:t>
      </w:r>
    </w:p>
    <w:tbl>
      <w:tblPr>
        <w:tblW w:w="2088" w:type="dxa"/>
        <w:jc w:val="left"/>
        <w:tblInd w:w="0" w:type="dxa"/>
        <w:tblLayout w:type="fixed"/>
        <w:tblCellMar>
          <w:top w:w="0" w:type="dxa"/>
          <w:left w:w="0" w:type="dxa"/>
          <w:bottom w:w="0" w:type="dxa"/>
          <w:right w:w="0" w:type="dxa"/>
        </w:tblCellMar>
      </w:tblPr>
      <w:tblGrid>
        <w:gridCol w:w="38"/>
        <w:gridCol w:w="110"/>
        <w:gridCol w:w="194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0"/>
              <w:jc w:val="both"/>
              <w:rPr/>
            </w:pPr>
            <w:r>
              <w:rPr/>
              <w:t>create or incur liens;</w:t>
            </w:r>
          </w:p>
        </w:tc>
      </w:tr>
    </w:tbl>
    <w:p>
      <w:pPr>
        <w:pStyle w:val="TextBody"/>
        <w:bidi w:val="0"/>
        <w:spacing w:before="0" w:after="0"/>
        <w:jc w:val="left"/>
        <w:rPr>
          <w:color w:val="000000"/>
          <w:shd w:fill="FFFFFF" w:val="clear"/>
        </w:rPr>
      </w:pPr>
      <w:r>
        <w:rPr>
          <w:color w:val="000000"/>
          <w:shd w:fill="FFFFFF" w:val="clear"/>
        </w:rPr>
        <w:t> </w:t>
      </w:r>
    </w:p>
    <w:tbl>
      <w:tblPr>
        <w:tblW w:w="3348" w:type="dxa"/>
        <w:jc w:val="left"/>
        <w:tblInd w:w="0" w:type="dxa"/>
        <w:tblLayout w:type="fixed"/>
        <w:tblCellMar>
          <w:top w:w="0" w:type="dxa"/>
          <w:left w:w="0" w:type="dxa"/>
          <w:bottom w:w="0" w:type="dxa"/>
          <w:right w:w="0" w:type="dxa"/>
        </w:tblCellMar>
      </w:tblPr>
      <w:tblGrid>
        <w:gridCol w:w="38"/>
        <w:gridCol w:w="110"/>
        <w:gridCol w:w="320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0"/>
              <w:jc w:val="both"/>
              <w:rPr/>
            </w:pPr>
            <w:r>
              <w:rPr/>
              <w:t>make acquisitions or investments;</w:t>
            </w:r>
          </w:p>
        </w:tc>
      </w:tr>
    </w:tbl>
    <w:p>
      <w:pPr>
        <w:pStyle w:val="TextBody"/>
        <w:bidi w:val="0"/>
        <w:spacing w:before="0" w:after="0"/>
        <w:jc w:val="left"/>
        <w:rPr>
          <w:color w:val="000000"/>
          <w:shd w:fill="FFFFFF" w:val="clear"/>
        </w:rPr>
      </w:pPr>
      <w:r>
        <w:rPr>
          <w:color w:val="000000"/>
          <w:shd w:fill="FFFFFF" w:val="clear"/>
        </w:rPr>
        <w:t> </w:t>
      </w:r>
    </w:p>
    <w:tbl>
      <w:tblPr>
        <w:tblW w:w="7908" w:type="dxa"/>
        <w:jc w:val="left"/>
        <w:tblInd w:w="0" w:type="dxa"/>
        <w:tblLayout w:type="fixed"/>
        <w:tblCellMar>
          <w:top w:w="0" w:type="dxa"/>
          <w:left w:w="0" w:type="dxa"/>
          <w:bottom w:w="0" w:type="dxa"/>
          <w:right w:w="0" w:type="dxa"/>
        </w:tblCellMar>
      </w:tblPr>
      <w:tblGrid>
        <w:gridCol w:w="38"/>
        <w:gridCol w:w="110"/>
        <w:gridCol w:w="776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both"/>
              <w:rPr/>
            </w:pPr>
            <w:r>
              <w:rPr/>
              <w:t>transfer or sell certain assets or merge or consolidate with or into other companies;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make certain payments or prepayments of indebtedness subordinated to our obligations under our Credit Facility; and</w:t>
            </w:r>
          </w:p>
        </w:tc>
      </w:tr>
    </w:tbl>
    <w:p>
      <w:pPr>
        <w:pStyle w:val="TextBody"/>
        <w:bidi w:val="0"/>
        <w:spacing w:before="0" w:after="0"/>
        <w:jc w:val="left"/>
        <w:rPr>
          <w:color w:val="000000"/>
          <w:shd w:fill="FFFFFF" w:val="clear"/>
        </w:rPr>
      </w:pPr>
      <w:r>
        <w:rPr>
          <w:color w:val="000000"/>
          <w:shd w:fill="FFFFFF" w:val="clear"/>
        </w:rPr>
        <w:t> </w:t>
      </w:r>
    </w:p>
    <w:tbl>
      <w:tblPr>
        <w:tblW w:w="4698" w:type="dxa"/>
        <w:jc w:val="left"/>
        <w:tblInd w:w="0" w:type="dxa"/>
        <w:tblLayout w:type="fixed"/>
        <w:tblCellMar>
          <w:top w:w="0" w:type="dxa"/>
          <w:left w:w="0" w:type="dxa"/>
          <w:bottom w:w="0" w:type="dxa"/>
          <w:right w:w="0" w:type="dxa"/>
        </w:tblCellMar>
      </w:tblPr>
      <w:tblGrid>
        <w:gridCol w:w="38"/>
        <w:gridCol w:w="110"/>
        <w:gridCol w:w="4550"/>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both"/>
              <w:rPr/>
            </w:pPr>
            <w:r>
              <w:rPr/>
              <w:t>enter into certain transactions with our affiliates.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Failure to comply with certain covenants or the occurrence of a change of control under our Credit Facility could result in the acceleration of our obligations under the Credit Facility, which could materially adversely affect our liquidity, capital resources,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certain circumstances, our Credit Facility requires us to comply with certain financial covenants regarding our fixed charge coverage ratio.  Failure to comply could result in a default and an acceleration of our obligations under the Credit Facility, which could have a material adverse effect on our liquidity and our business, financial condition, and results of operations.  See “Item 7. Management’s Discussion and Analysis of Financial Condition and Results of Operations - Liquidity and Capital Resources - Credit Facilities.”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may be unable to generate sufficient cash flows to satisfy debt service obligations, which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ability to make principal and interest payments on and to refinance indebtedness will depend on our ability to generate cash in the future and is subject to general economic, financial, competitive, legislative, regulatory, and other factors that are beyond our control.  If our business does not generate sufficient cash flows from operations, in the amounts projected or at all, or if future borrowings are not available to us in amounts sufficient to fund our other liquidity needs, our business, financial condition, and results of operations could be materially adversely affected.  If we cannot generate sufficient cash flows from operations to make scheduled principal and interest payments in the future, we may need to refinance all or a portion of indebtedness on or before maturity, sell assets, delay capital expenditures, or seek additional equity.  The terms of future debt agreements, including our Credit Facility, may also restrict us from affecting any of these alternatives.  Further, changes in the credit and capital markets, including market disruptions and interest rate fluctuations, may increase the cost of financing, make it more difficult to obtain favorable terms, or restrict our access to these sources of future liquidity.  If we are unable to refinance indebtedness on commercially reasonable terms or at all or to affect any other action relating to indebtedness on satisfactory terms or at all, it could have a material adverse effect on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We cannot guarantee that our share repurchase program will be fully consummated or that it will enhance long-term stockholder value.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adopted a share repurchase program pursuant to which we are currently authorized to repurchase up to $200.0 million of shares of our common stock through March 31, 2026.  While the authorization of the repurchase program has an expiration date, the authorizations are subject to extension or earlier termination by the Board of Directors at any time and we are not obligated to repurchase a specified number or dollar value of shares under our share repurchase program.  Even if our share repurchase program is fully executed, it may not enhance long-term stockholder value.  Also, the amount, timing, and execution of our share repurchase program may fluctuate based on our priorities for the use of cash for other purposes and because of changes in cash flows, tax laws, and the market price of our common stock.</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 w:name="UnresolvedStaffComments"/>
      <w:bookmarkStart w:id="6" w:name="UnresolvedStaffComments"/>
      <w:bookmarkEnd w:id="6"/>
    </w:p>
    <w:tbl>
      <w:tblPr>
        <w:tblW w:w="3790" w:type="dxa"/>
        <w:jc w:val="left"/>
        <w:tblInd w:w="0" w:type="dxa"/>
        <w:tblLayout w:type="fixed"/>
        <w:tblCellMar>
          <w:top w:w="0" w:type="dxa"/>
          <w:left w:w="0" w:type="dxa"/>
          <w:bottom w:w="0" w:type="dxa"/>
          <w:right w:w="0" w:type="dxa"/>
        </w:tblCellMar>
      </w:tblPr>
      <w:tblGrid>
        <w:gridCol w:w="905"/>
        <w:gridCol w:w="2885"/>
      </w:tblGrid>
      <w:tr>
        <w:trPr/>
        <w:tc>
          <w:tcPr>
            <w:tcW w:w="905" w:type="dxa"/>
            <w:tcBorders/>
            <w:vAlign w:val="center"/>
          </w:tcPr>
          <w:p>
            <w:pPr>
              <w:pStyle w:val="TableContents"/>
              <w:bidi w:val="0"/>
              <w:spacing w:before="0" w:after="283"/>
              <w:jc w:val="left"/>
              <w:rPr>
                <w:b/>
              </w:rPr>
            </w:pPr>
            <w:r>
              <w:rPr>
                <w:b/>
              </w:rPr>
              <w:t>Item 1B.</w:t>
            </w:r>
          </w:p>
        </w:tc>
        <w:tc>
          <w:tcPr>
            <w:tcW w:w="2885" w:type="dxa"/>
            <w:tcBorders/>
            <w:vAlign w:val="center"/>
          </w:tcPr>
          <w:p>
            <w:pPr>
              <w:pStyle w:val="TableContents"/>
              <w:bidi w:val="0"/>
              <w:spacing w:before="0" w:after="0"/>
              <w:jc w:val="left"/>
              <w:rPr>
                <w:b/>
              </w:rPr>
            </w:pPr>
            <w:r>
              <w:rPr>
                <w:b/>
              </w:rPr>
              <w:t>Unresolved Staff Comments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7" w:name="Cybersecurity"/>
      <w:bookmarkStart w:id="8" w:name="Cybersecurity"/>
      <w:bookmarkEnd w:id="8"/>
    </w:p>
    <w:tbl>
      <w:tblPr>
        <w:tblW w:w="2395" w:type="dxa"/>
        <w:jc w:val="left"/>
        <w:tblInd w:w="0" w:type="dxa"/>
        <w:tblLayout w:type="fixed"/>
        <w:tblCellMar>
          <w:top w:w="0" w:type="dxa"/>
          <w:left w:w="0" w:type="dxa"/>
          <w:bottom w:w="0" w:type="dxa"/>
          <w:right w:w="0" w:type="dxa"/>
        </w:tblCellMar>
      </w:tblPr>
      <w:tblGrid>
        <w:gridCol w:w="920"/>
        <w:gridCol w:w="1475"/>
      </w:tblGrid>
      <w:tr>
        <w:trPr/>
        <w:tc>
          <w:tcPr>
            <w:tcW w:w="920" w:type="dxa"/>
            <w:tcBorders/>
            <w:vAlign w:val="center"/>
          </w:tcPr>
          <w:p>
            <w:pPr>
              <w:pStyle w:val="TableContents"/>
              <w:bidi w:val="0"/>
              <w:spacing w:before="0" w:after="283"/>
              <w:jc w:val="left"/>
              <w:rPr>
                <w:b/>
              </w:rPr>
            </w:pPr>
            <w:r>
              <w:rPr>
                <w:b/>
              </w:rPr>
              <w:t>Item 1C.</w:t>
            </w:r>
          </w:p>
        </w:tc>
        <w:tc>
          <w:tcPr>
            <w:tcW w:w="1475" w:type="dxa"/>
            <w:tcBorders/>
            <w:vAlign w:val="center"/>
          </w:tcPr>
          <w:p>
            <w:pPr>
              <w:pStyle w:val="TableContents"/>
              <w:bidi w:val="0"/>
              <w:spacing w:before="0" w:after="0"/>
              <w:jc w:val="left"/>
              <w:rPr>
                <w:b/>
              </w:rPr>
            </w:pPr>
            <w:r>
              <w:rPr>
                <w:b/>
              </w:rPr>
              <w:t>Cybersecurity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Board recognizes the importance of maintaining the trust and confidence of our customers, associates, vendors, and other business partners through the effective management of Company enterprise risks.  The Board, through its Audit Committee, oversees the Company’s risk management program, and cybersecurity represents an important component of the Company’s overall approach to enterprise risk management (“ERM”).  Cybersecurity policies, standards, processes, and practices comprise an integral part of the Company’s ERM program and are based on recognized frameworks established by the National Institute of Standards and Technology, the Payment Card Industry Data Security Standard and other applicable industry standards. In general, the Company addresses cybersecurity risks through a comprehensive, cross-functional approach focused on preserving the confidentiality, security, and availability of the information that the Company collects and stores by, first, identifying, preventing, and mitigating cybersecurity threats and, when needed, effectively responding to cybersecurity incidents.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Risk Management and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cybersecurity program focuses on the following key areas: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As discussed in more detail under the heading “Governance,” the Board oversees the Company’s ERM functions through its Audit Committee (the “Audit Committee”).  The Audit Committee, in turn, oversees the Company’s Risk Management Committee (the “Risk Committee”), which includes the Company’s Chief Information Officer (“CIO”), who fulfills the role of Chief Information Security Officer (“CISO”), other members of management, and select personnel from key departments.  The Risk Committee regularly meets to discuss, evaluate, and address the ever-changing landscape of enterprise risks.  The Risk Committee then reports to, and solicits direction and input from, the Audit Committee.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has implemented a comprehensive, cross functional approach to identifying, mitigating, and preventing cybersecurity threats and incidents, while also implementing controls and procedures that provide for the prompt escalation of certain cybersecurity incidents, so that management can make decisions regarding the public disclosure and reporting of such incidents in a timely manner.  The Board, Company management, other key associates, and outside vendors and service providers work together and diligently at all levels of the ERM function.</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deploys technical safeguards that are designed to protect the Company’s information systems from cybersecurity threats, including firewalls, intrusion prevention and detection systems, anti-malware functionality, and access controls, which the Company evaluates and improves through vulnerability assessments and cybersecurity threat intelligence.</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has established and maintains comprehensive incident response and recovery plans that fully address the Company’s response to a cybersecurity incident.  Such plans are tested and evaluated on a regular basis.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maintains a comprehensive, risk-based approach to identifying and overseeing cybersecurity risks presented by third parties (including vendors, service providers, and other external users of the Company’s systems) as well as the systems of third parties that could adversely impact the Company’s business in the event of a cybersecurity incident affecting those third-party systems.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conducts regular training for its associates regarding cybersecurity threats, as means to equip the Company’s associates with effective tools to address cybersecurity threats and to communicate the Company’s evolving information security policies, standards, processes, and practices.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regularly assesses and tests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The Company regularly engages third parties to perform assessments on our cybersecurity measures, including information security maturity assessments, audits, and independent reviews of our information security control environment and operating effectiveness. The CIO’s team reports the results of such assessments, audits, and reviews to the Risk Committee and the Audit Committee on a quarterly basis, and the Company adjusts its cybersecurity policies, standards, processes, and practices as necessary based on the valuable information gleaned during these assessments, audits, and reviews.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Governance and Board Oversight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Board, through its Audit Committee, pursuant to the Audit Committee’s charter, and in coordination with the Company’s Risk Committee, oversees the Company’s ERM process, including the management of risks arising from cybersecurity threats.  The Risk Committee solicits regular presentations and reports on cybersecurity risks from various departments within the Company, expressly seeking a wide range of input and viewpoints on the ERM process. The Risk Committee considers topics such as recent developments, evolving standards, vulnerability assessments, third-party and independent reviews, the threat environment, technological trends, and information security considerations arising with respect to the Company’s peers and third parties.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 quarterly basis, the Risk Committee meets to discuss ERM, including cybersecurity processes, keeping adequate records of its consideration of the applicable ERM topics.  The Risk Committee reports quarterly to the Board’s Audit Committee, responding to the comments, questions, directives, and input from the members thereof, and engaging in a fulsome discussion of the Company’s approach to, among other things, cybersecurity risk management.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Company Management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CIO, in coordination with the Company’s IT Security and Compliance (“ITSEC”) team works collaboratively across the Company to implement a program designed to protect the Company’s information systems from cybersecurity threats and to promptly respond to any cybersecurity incidents in accordance with the Company’s incident response and recovery plans.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CIO has served various roles in information technology for over 32 years, including 16 years with responsibility in overseeing cybersecurity efforts in large publicly traded companies.  The ITSEC team includes a dedicated manager and security analysts.  The ITSEC team also has access to two dedicated consultants who each have over 20 years’ experience managing cybersecurity risk and infrastructure security in large publicly-traded companies.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Incident Response Team, which includes the Chief Executive Officer, Chief Financial Officer, Chief Operating Officer, CIO, and General Counsel, receives prompt and timely information regarding any cybersecurity incident that meets established reporting thresholds, as well as ongoing updates regarding any such incident until it has been addressed.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facilitate the success of the Company’s cybersecurity components of the ERM program, multidisciplinary teams throughout the Company are deployed to address cybersecurity threats and to respond to cybersecurity incidents.  Through ongoing communications with these teams, the CIO and the ITSEC team monitor the prevention, detection, mitigation, and remediation of cybersecurity threats and incidents in real time and report such threats and incidents to the Risk Committee and Audit Committee when appropriate.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Cybersecurity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Despite the security measures we have implemented, certain cybersecurity incidents could disrupt our operational systems if our IT resources are compromised by an intentional attack which results in the loss of trade secrets or other proprietary or competitively sensitive information; compromises personally identifiable information regarding customers or employees; delays our ability to deliver products to customers; jeopardizes the security of our facilities; or causes other damage.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fiscal year ended February 3, 2024, we did not experience any material impact to our business, financial position, or operations resulting from previously identified cyberattacks or other information security incidents, but we cannot provide assurance that they will not be materially affected in the future by such risks or any future material breaches. While our lack of an online shopping option or an omnichannel customer experience may pose risks to our business, the same aspect of our operations insulates us from the same level of cybersecurity risks relative to those peers.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continuously seek to maintain a robust program of information security and controls, but the impact of a material cybersecurity incident could have an adverse effect on our competitive position, reputation, results of operations, financial condition, and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Additionally, while we have a cybersecurity program designed to protect and preserve the confidentiality, integrity, and availability of our information systems, we also maintain cybersecurity insurance to manage potential liabilities resulting from specific cyber-attacks.  Although we maintain cybersecurity insurance, there can be no guarantee that our insurer(s) will cover specific claims, pay the full costs of an incident, or provide payment in a timely manner.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more information, please see “Item 1A – Risk Factors – Technology and Cybersecurity.”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9" w:name="Properties"/>
      <w:bookmarkStart w:id="10" w:name="Properties"/>
      <w:bookmarkEnd w:id="10"/>
    </w:p>
    <w:tbl>
      <w:tblPr>
        <w:tblW w:w="1825" w:type="dxa"/>
        <w:jc w:val="left"/>
        <w:tblInd w:w="0" w:type="dxa"/>
        <w:tblLayout w:type="fixed"/>
        <w:tblCellMar>
          <w:top w:w="0" w:type="dxa"/>
          <w:left w:w="0" w:type="dxa"/>
          <w:bottom w:w="0" w:type="dxa"/>
          <w:right w:w="0" w:type="dxa"/>
        </w:tblCellMar>
      </w:tblPr>
      <w:tblGrid>
        <w:gridCol w:w="740"/>
        <w:gridCol w:w="1085"/>
      </w:tblGrid>
      <w:tr>
        <w:trPr/>
        <w:tc>
          <w:tcPr>
            <w:tcW w:w="740" w:type="dxa"/>
            <w:tcBorders/>
            <w:vAlign w:val="center"/>
          </w:tcPr>
          <w:p>
            <w:pPr>
              <w:pStyle w:val="TableContents"/>
              <w:bidi w:val="0"/>
              <w:spacing w:before="0" w:after="283"/>
              <w:jc w:val="left"/>
              <w:rPr>
                <w:b/>
              </w:rPr>
            </w:pPr>
            <w:r>
              <w:rPr>
                <w:b/>
              </w:rPr>
              <w:t>Item 2.</w:t>
            </w:r>
          </w:p>
        </w:tc>
        <w:tc>
          <w:tcPr>
            <w:tcW w:w="1085" w:type="dxa"/>
            <w:tcBorders/>
            <w:vAlign w:val="center"/>
          </w:tcPr>
          <w:p>
            <w:pPr>
              <w:pStyle w:val="TableContents"/>
              <w:bidi w:val="0"/>
              <w:spacing w:before="0" w:after="0"/>
              <w:jc w:val="both"/>
              <w:rPr>
                <w:b/>
              </w:rPr>
            </w:pPr>
            <w:r>
              <w:rPr>
                <w:b/>
              </w:rPr>
              <w:t>Properties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lease the majority of our retail stores, often in second generation sites ranging in size from 20,000 to 50,000 square feet. Our corporate headquarters, located in Harrisburg, PA, is 58,200 square feet and is leased under an agreement that expires in February 2033, with options to renew for three successive five-year periods. Our corporate data center and additional office space is 19,800 square feet.  Our recently expanded 804,000 square foot distribution center located in York, PA is leased under an agreement that expires in March 2033 with an option to renew for one five-year period, we completed the expansion in fiscal 2023 providing an additional 201,000 square feet of distribution capacity. Our 962,000 square foot distribution center in Commerce, GA is leased under an agreement that expires in April 2024 with options to renew for three successive five-year periods. In 2019, we constructed our 615,000 square foot distribution center in Lancaster, TX. The Lancaster, TX distribution center became fully operational during the first quarter of 2020. In addition, we are constructing our fourth distribution center in Princeton, IL, which we anticipate to be operational in the second half of fiscal 2024. As of February 3, 2024, there were 512 Ollie’s Bargain Outlet locations across 30 contiguous states in the eastern half of the United States.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a focused and disciplined approach to entering into lease arrangements. All leases are approved by our real estate committee, which is comprised of senior management and executive officers. Our leases generally have an initial term of approximately seven years with options to renew for three to five successive five-year periods and generally require us to pay a proportionate share of real estate taxes, insurance, and common area or other charges.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1" w:name="LegalProceedings"/>
      <w:bookmarkStart w:id="12" w:name="LegalProceedings"/>
      <w:bookmarkEnd w:id="12"/>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jc w:val="left"/>
              <w:rPr>
                <w:b/>
              </w:rPr>
            </w:pPr>
            <w:r>
              <w:rPr>
                <w:b/>
              </w:rPr>
              <w:t>Item 3.</w:t>
            </w:r>
          </w:p>
        </w:tc>
        <w:tc>
          <w:tcPr>
            <w:tcW w:w="1895" w:type="dxa"/>
            <w:tcBorders/>
            <w:vAlign w:val="center"/>
          </w:tcPr>
          <w:p>
            <w:pPr>
              <w:pStyle w:val="TableContents"/>
              <w:bidi w:val="0"/>
              <w:spacing w:before="0" w:after="0"/>
              <w:jc w:val="both"/>
              <w:rPr>
                <w:b/>
              </w:rPr>
            </w:pPr>
            <w:r>
              <w:rPr>
                <w:b/>
              </w:rPr>
              <w:t>Legal Proceedings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are involved in claims and legal actions that arise in the ordinary course of our business. We cannot predict the outcome of any litigation or suit to which we are a party. However, we do not believe that an unfavorable decision of any of the current claims or legal actions against us, individually or in the aggregate, will have a material adverse effect on our financial position, results of operations, liquidity or capital resources.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 w:name="MineSafetyDisclosures"/>
      <w:bookmarkStart w:id="14" w:name="MineSafetyDisclosures"/>
      <w:bookmarkEnd w:id="14"/>
    </w:p>
    <w:tbl>
      <w:tblPr>
        <w:tblW w:w="3190" w:type="dxa"/>
        <w:jc w:val="left"/>
        <w:tblInd w:w="0" w:type="dxa"/>
        <w:tblLayout w:type="fixed"/>
        <w:tblCellMar>
          <w:top w:w="0" w:type="dxa"/>
          <w:left w:w="0" w:type="dxa"/>
          <w:bottom w:w="0" w:type="dxa"/>
          <w:right w:w="0" w:type="dxa"/>
        </w:tblCellMar>
      </w:tblPr>
      <w:tblGrid>
        <w:gridCol w:w="740"/>
        <w:gridCol w:w="2450"/>
      </w:tblGrid>
      <w:tr>
        <w:trPr/>
        <w:tc>
          <w:tcPr>
            <w:tcW w:w="740" w:type="dxa"/>
            <w:tcBorders/>
            <w:vAlign w:val="center"/>
          </w:tcPr>
          <w:p>
            <w:pPr>
              <w:pStyle w:val="TableContents"/>
              <w:bidi w:val="0"/>
              <w:spacing w:before="0" w:after="283"/>
              <w:jc w:val="left"/>
              <w:rPr>
                <w:b/>
              </w:rPr>
            </w:pPr>
            <w:r>
              <w:rPr>
                <w:b/>
              </w:rPr>
              <w:t>Item 4.</w:t>
            </w:r>
          </w:p>
        </w:tc>
        <w:tc>
          <w:tcPr>
            <w:tcW w:w="2450" w:type="dxa"/>
            <w:tcBorders/>
            <w:vAlign w:val="center"/>
          </w:tcPr>
          <w:p>
            <w:pPr>
              <w:pStyle w:val="TableContents"/>
              <w:bidi w:val="0"/>
              <w:spacing w:before="0" w:after="0"/>
              <w:jc w:val="both"/>
              <w:rPr>
                <w:b/>
              </w:rPr>
            </w:pPr>
            <w:r>
              <w:rPr>
                <w:b/>
              </w:rPr>
              <w:t>Mine Safety Disclosures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5" w:name="MarketforRegistrantsCommo"/>
      <w:bookmarkStart w:id="16" w:name="MarketforRegistrantsCommo"/>
      <w:bookmarkEnd w:id="16"/>
    </w:p>
    <w:tbl>
      <w:tblPr>
        <w:tblW w:w="10205" w:type="dxa"/>
        <w:jc w:val="left"/>
        <w:tblInd w:w="0" w:type="dxa"/>
        <w:tblLayout w:type="fixed"/>
        <w:tblCellMar>
          <w:top w:w="0" w:type="dxa"/>
          <w:left w:w="0" w:type="dxa"/>
          <w:bottom w:w="0" w:type="dxa"/>
          <w:right w:w="0" w:type="dxa"/>
        </w:tblCellMar>
      </w:tblPr>
      <w:tblGrid>
        <w:gridCol w:w="693"/>
        <w:gridCol w:w="9512"/>
      </w:tblGrid>
      <w:tr>
        <w:trPr/>
        <w:tc>
          <w:tcPr>
            <w:tcW w:w="693" w:type="dxa"/>
            <w:tcBorders/>
            <w:vAlign w:val="center"/>
          </w:tcPr>
          <w:p>
            <w:pPr>
              <w:pStyle w:val="TableContents"/>
              <w:bidi w:val="0"/>
              <w:spacing w:before="0" w:after="283"/>
              <w:jc w:val="left"/>
              <w:rPr>
                <w:b/>
              </w:rPr>
            </w:pPr>
            <w:r>
              <w:rPr>
                <w:b/>
              </w:rPr>
              <w:t>Item 5.</w:t>
            </w:r>
          </w:p>
        </w:tc>
        <w:tc>
          <w:tcPr>
            <w:tcW w:w="9512" w:type="dxa"/>
            <w:tcBorders/>
            <w:vAlign w:val="center"/>
          </w:tcPr>
          <w:p>
            <w:pPr>
              <w:pStyle w:val="TableContents"/>
              <w:bidi w:val="0"/>
              <w:spacing w:before="0" w:after="0"/>
              <w:jc w:val="left"/>
              <w:rPr>
                <w:b/>
              </w:rPr>
            </w:pPr>
            <w:r>
              <w:rPr>
                <w:b/>
              </w:rPr>
              <w:t>Market for Registrant’s Common Equity, Related Stockholder Matters and Issuer Purchases of Equity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common stock is traded on NASDAQ under the symbol “OLLI.” The following tables set forth for the periods indicated the high and low sales prices of our common stock on NASDAQ.</w:t>
      </w:r>
    </w:p>
    <w:p>
      <w:pPr>
        <w:pStyle w:val="TextBody"/>
        <w:bidi w:val="0"/>
        <w:spacing w:before="0" w:after="0"/>
        <w:jc w:val="left"/>
        <w:rPr>
          <w:color w:val="000000"/>
          <w:shd w:fill="FFFFFF" w:val="clear"/>
        </w:rPr>
      </w:pPr>
      <w:r>
        <w:rPr>
          <w:color w:val="000000"/>
          <w:shd w:fill="FFFFFF" w:val="clear"/>
        </w:rPr>
        <w:t> </w:t>
      </w:r>
    </w:p>
    <w:tbl>
      <w:tblPr>
        <w:tblW w:w="3175" w:type="dxa"/>
        <w:jc w:val="left"/>
        <w:tblInd w:w="0" w:type="dxa"/>
        <w:tblLayout w:type="fixed"/>
        <w:tblCellMar>
          <w:top w:w="0" w:type="dxa"/>
          <w:left w:w="0" w:type="dxa"/>
          <w:bottom w:w="0" w:type="dxa"/>
          <w:right w:w="0" w:type="dxa"/>
        </w:tblCellMar>
      </w:tblPr>
      <w:tblGrid>
        <w:gridCol w:w="1520"/>
        <w:gridCol w:w="60"/>
        <w:gridCol w:w="140"/>
        <w:gridCol w:w="560"/>
        <w:gridCol w:w="60"/>
        <w:gridCol w:w="60"/>
        <w:gridCol w:w="140"/>
        <w:gridCol w:w="560"/>
        <w:gridCol w:w="75"/>
      </w:tblGrid>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75"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High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Low</w:t>
            </w:r>
          </w:p>
        </w:tc>
        <w:tc>
          <w:tcPr>
            <w:tcW w:w="75" w:type="dxa"/>
            <w:tcBorders/>
            <w:vAlign w:val="bottom"/>
          </w:tcPr>
          <w:p>
            <w:pPr>
              <w:pStyle w:val="TableContents"/>
              <w:bidi w:val="0"/>
              <w:spacing w:before="0" w:after="283"/>
              <w:jc w:val="left"/>
              <w:rPr/>
            </w:pPr>
            <w:r>
              <w:rPr/>
              <w:t> </w:t>
            </w:r>
          </w:p>
        </w:tc>
      </w:tr>
      <w:tr>
        <w:trPr/>
        <w:tc>
          <w:tcPr>
            <w:tcW w:w="1520" w:type="dxa"/>
            <w:tcBorders/>
            <w:shd w:fill="CCEEFF" w:val="clear"/>
            <w:vAlign w:val="bottom"/>
          </w:tcPr>
          <w:p>
            <w:pPr>
              <w:pStyle w:val="TableContents"/>
              <w:bidi w:val="0"/>
              <w:spacing w:before="0" w:after="0"/>
              <w:jc w:val="left"/>
              <w:rPr>
                <w:color w:val="000000"/>
              </w:rPr>
            </w:pPr>
            <w:r>
              <w:rPr>
                <w:color w:val="000000"/>
              </w:rPr>
              <w:t>First Quarter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65.97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50.95</w:t>
            </w:r>
          </w:p>
        </w:tc>
        <w:tc>
          <w:tcPr>
            <w:tcW w:w="75" w:type="dxa"/>
            <w:tcBorders/>
            <w:shd w:fill="CCEEFF" w:val="clear"/>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0"/>
              <w:jc w:val="left"/>
              <w:rPr>
                <w:color w:val="000000"/>
              </w:rPr>
            </w:pPr>
            <w:r>
              <w:rPr>
                <w:color w:val="000000"/>
              </w:rPr>
              <w:t>Second Quarter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73.71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52.93</w:t>
            </w:r>
          </w:p>
        </w:tc>
        <w:tc>
          <w:tcPr>
            <w:tcW w:w="75" w:type="dxa"/>
            <w:tcBorders/>
            <w:vAlign w:val="bottom"/>
          </w:tcPr>
          <w:p>
            <w:pPr>
              <w:pStyle w:val="TableContents"/>
              <w:bidi w:val="0"/>
              <w:spacing w:before="0" w:after="283"/>
              <w:jc w:val="left"/>
              <w:rPr/>
            </w:pPr>
            <w:r>
              <w:rPr/>
              <w:t> </w:t>
            </w:r>
          </w:p>
        </w:tc>
      </w:tr>
      <w:tr>
        <w:trPr/>
        <w:tc>
          <w:tcPr>
            <w:tcW w:w="1520" w:type="dxa"/>
            <w:tcBorders/>
            <w:shd w:fill="CCEEFF" w:val="clear"/>
            <w:vAlign w:val="bottom"/>
          </w:tcPr>
          <w:p>
            <w:pPr>
              <w:pStyle w:val="TableContents"/>
              <w:bidi w:val="0"/>
              <w:spacing w:before="0" w:after="0"/>
              <w:jc w:val="left"/>
              <w:rPr>
                <w:color w:val="000000"/>
              </w:rPr>
            </w:pPr>
            <w:r>
              <w:rPr>
                <w:color w:val="000000"/>
              </w:rPr>
              <w:t>Third Quarter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80.94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70.17</w:t>
            </w:r>
          </w:p>
        </w:tc>
        <w:tc>
          <w:tcPr>
            <w:tcW w:w="75" w:type="dxa"/>
            <w:tcBorders/>
            <w:shd w:fill="CCEEFF" w:val="clear"/>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0"/>
              <w:jc w:val="left"/>
              <w:rPr>
                <w:color w:val="000000"/>
              </w:rPr>
            </w:pPr>
            <w:r>
              <w:rPr>
                <w:color w:val="000000"/>
              </w:rPr>
              <w:t>Fourth Quarter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83.19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68.57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3175" w:type="dxa"/>
        <w:jc w:val="left"/>
        <w:tblInd w:w="0" w:type="dxa"/>
        <w:tblLayout w:type="fixed"/>
        <w:tblCellMar>
          <w:top w:w="0" w:type="dxa"/>
          <w:left w:w="0" w:type="dxa"/>
          <w:bottom w:w="0" w:type="dxa"/>
          <w:right w:w="0" w:type="dxa"/>
        </w:tblCellMar>
      </w:tblPr>
      <w:tblGrid>
        <w:gridCol w:w="1520"/>
        <w:gridCol w:w="60"/>
        <w:gridCol w:w="140"/>
        <w:gridCol w:w="560"/>
        <w:gridCol w:w="60"/>
        <w:gridCol w:w="60"/>
        <w:gridCol w:w="140"/>
        <w:gridCol w:w="560"/>
        <w:gridCol w:w="75"/>
      </w:tblGrid>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75"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High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Low</w:t>
            </w:r>
          </w:p>
        </w:tc>
        <w:tc>
          <w:tcPr>
            <w:tcW w:w="75" w:type="dxa"/>
            <w:tcBorders/>
            <w:vAlign w:val="bottom"/>
          </w:tcPr>
          <w:p>
            <w:pPr>
              <w:pStyle w:val="TableContents"/>
              <w:bidi w:val="0"/>
              <w:spacing w:before="0" w:after="283"/>
              <w:jc w:val="left"/>
              <w:rPr/>
            </w:pPr>
            <w:r>
              <w:rPr/>
              <w:t> </w:t>
            </w:r>
          </w:p>
        </w:tc>
      </w:tr>
      <w:tr>
        <w:trPr/>
        <w:tc>
          <w:tcPr>
            <w:tcW w:w="1520" w:type="dxa"/>
            <w:tcBorders/>
            <w:shd w:fill="CCEEFF" w:val="clear"/>
            <w:vAlign w:val="bottom"/>
          </w:tcPr>
          <w:p>
            <w:pPr>
              <w:pStyle w:val="TableContents"/>
              <w:bidi w:val="0"/>
              <w:spacing w:before="0" w:after="0"/>
              <w:jc w:val="left"/>
              <w:rPr>
                <w:color w:val="000000"/>
              </w:rPr>
            </w:pPr>
            <w:r>
              <w:rPr>
                <w:color w:val="000000"/>
              </w:rPr>
              <w:t>First Quarter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55.22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37.67</w:t>
            </w:r>
          </w:p>
        </w:tc>
        <w:tc>
          <w:tcPr>
            <w:tcW w:w="75" w:type="dxa"/>
            <w:tcBorders/>
            <w:shd w:fill="CCEEFF" w:val="clear"/>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0"/>
              <w:jc w:val="left"/>
              <w:rPr>
                <w:color w:val="000000"/>
              </w:rPr>
            </w:pPr>
            <w:r>
              <w:rPr>
                <w:color w:val="000000"/>
              </w:rPr>
              <w:t>Second Quarter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72.27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40.40</w:t>
            </w:r>
          </w:p>
        </w:tc>
        <w:tc>
          <w:tcPr>
            <w:tcW w:w="75" w:type="dxa"/>
            <w:tcBorders/>
            <w:vAlign w:val="bottom"/>
          </w:tcPr>
          <w:p>
            <w:pPr>
              <w:pStyle w:val="TableContents"/>
              <w:bidi w:val="0"/>
              <w:spacing w:before="0" w:after="283"/>
              <w:jc w:val="left"/>
              <w:rPr/>
            </w:pPr>
            <w:r>
              <w:rPr/>
              <w:t> </w:t>
            </w:r>
          </w:p>
        </w:tc>
      </w:tr>
      <w:tr>
        <w:trPr/>
        <w:tc>
          <w:tcPr>
            <w:tcW w:w="1520" w:type="dxa"/>
            <w:tcBorders/>
            <w:shd w:fill="CCEEFF" w:val="clear"/>
            <w:vAlign w:val="bottom"/>
          </w:tcPr>
          <w:p>
            <w:pPr>
              <w:pStyle w:val="TableContents"/>
              <w:bidi w:val="0"/>
              <w:spacing w:before="0" w:after="0"/>
              <w:jc w:val="left"/>
              <w:rPr>
                <w:color w:val="000000"/>
              </w:rPr>
            </w:pPr>
            <w:r>
              <w:rPr>
                <w:color w:val="000000"/>
              </w:rPr>
              <w:t>Third Quarter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67.99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48.95</w:t>
            </w:r>
          </w:p>
        </w:tc>
        <w:tc>
          <w:tcPr>
            <w:tcW w:w="75" w:type="dxa"/>
            <w:tcBorders/>
            <w:shd w:fill="CCEEFF" w:val="clear"/>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0"/>
              <w:jc w:val="left"/>
              <w:rPr>
                <w:color w:val="000000"/>
              </w:rPr>
            </w:pPr>
            <w:r>
              <w:rPr>
                <w:color w:val="000000"/>
              </w:rPr>
              <w:t>Fourth Quarter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62.82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44.72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February 3, 2024, we had approximately 460 stockholders of record.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Stock Performance Graph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graph set forth below compares the cumulative stockholder return on our common stock between February 2, 2019 and February 3, 2024 to the cumulative return of (i) the NASDAQ Composite Total Return index and (ii) the NASDAQ US Benchmark Retail Index over the same period.  This graph assumes an initial investment of $100 on February 2, 2019 in our common stock, the NASDAQ Composite Total Return index and the NASDAQ US Benchmark Retail Index and assumes the reinvestment of dividends, if any.  Such returns are based on historical results and are not intended to suggest future performance.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color w:val="000000"/>
          <w:shd w:fill="FFFFFF" w:val="clear"/>
        </w:rPr>
      </w:pPr>
      <w:r>
        <w:rPr>
          <w:color w:val="000000"/>
          <w:shd w:fill="FFFFFF" w:val="clear"/>
        </w:rPr>
        <w:drawing>
          <wp:inline distT="0" distB="0" distL="0" distR="0">
            <wp:extent cx="7534275" cy="428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534275" cy="4286250"/>
                    </a:xfrm>
                    <a:prstGeom prst="rect">
                      <a:avLst/>
                    </a:prstGeom>
                  </pic:spPr>
                </pic:pic>
              </a:graphicData>
            </a:graphic>
          </wp:inline>
        </w:drawing>
      </w:r>
    </w:p>
    <w:p>
      <w:pPr>
        <w:pStyle w:val="TextBody"/>
        <w:bidi w:val="0"/>
        <w:spacing w:before="0" w:after="0"/>
        <w:jc w:val="left"/>
        <w:rPr>
          <w:color w:val="000000"/>
          <w:shd w:fill="FFFFFF" w:val="clear"/>
        </w:rPr>
      </w:pPr>
      <w:r>
        <w:rPr>
          <w:color w:val="000000"/>
          <w:shd w:fill="FFFFFF" w:val="clear"/>
        </w:rPr>
        <w:t xml:space="preserve">  </w:t>
      </w:r>
    </w:p>
    <w:tbl>
      <w:tblPr>
        <w:tblW w:w="8012" w:type="dxa"/>
        <w:jc w:val="left"/>
        <w:tblInd w:w="0" w:type="dxa"/>
        <w:tblLayout w:type="fixed"/>
        <w:tblCellMar>
          <w:top w:w="0" w:type="dxa"/>
          <w:left w:w="0" w:type="dxa"/>
          <w:bottom w:w="0" w:type="dxa"/>
          <w:right w:w="0" w:type="dxa"/>
        </w:tblCellMar>
      </w:tblPr>
      <w:tblGrid>
        <w:gridCol w:w="3335"/>
        <w:gridCol w:w="60"/>
        <w:gridCol w:w="60"/>
        <w:gridCol w:w="590"/>
        <w:gridCol w:w="60"/>
        <w:gridCol w:w="60"/>
        <w:gridCol w:w="60"/>
        <w:gridCol w:w="590"/>
        <w:gridCol w:w="60"/>
        <w:gridCol w:w="60"/>
        <w:gridCol w:w="61"/>
        <w:gridCol w:w="603"/>
        <w:gridCol w:w="60"/>
        <w:gridCol w:w="60"/>
        <w:gridCol w:w="61"/>
        <w:gridCol w:w="603"/>
        <w:gridCol w:w="60"/>
        <w:gridCol w:w="60"/>
        <w:gridCol w:w="61"/>
        <w:gridCol w:w="603"/>
        <w:gridCol w:w="60"/>
        <w:gridCol w:w="60"/>
        <w:gridCol w:w="60"/>
        <w:gridCol w:w="590"/>
        <w:gridCol w:w="75"/>
      </w:tblGrid>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2/2/19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1/30/21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1/29/22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1/28/23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2/3/24</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Ollie’s Bargain Outlet Holdings, Inc.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94.61</w:t>
            </w:r>
          </w:p>
        </w:tc>
        <w:tc>
          <w:tcPr>
            <w:tcW w:w="7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NASDAQ Composite Total Return Index</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209.88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96.14</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NASDAQ US Benchmark Retail Index</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167.70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190.18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Dividends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common stock began trading on July 16, 2015. Since then, we have not declared any cash dividends nor do we expect to in the foreseeable future as we intend to retain our earnings to finance the development and growth of our business and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Credit Facility contains a number of restrictive covenants that, among other things and subject to certain exceptions, restrict Ollie’s Bargain Outlet, Inc.’s and Ollie’s Holdings, Inc.’s (together the “Borrowers”) ability and the ability of their subsidiaries to pay dividends on our capital stock or redeem, repurchase or retire our capital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Authorized for Issuance under Equity Compensation Plans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will be set forth in the Proxy Statement and 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Information on Share Repurchases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Information regarding shares of common stock the Company repurchased during the fourteen weeks ended February 3, 2024 is as follows:</w:t>
      </w:r>
    </w:p>
    <w:tbl>
      <w:tblPr>
        <w:tblW w:w="10205" w:type="dxa"/>
        <w:jc w:val="left"/>
        <w:tblInd w:w="0" w:type="dxa"/>
        <w:tblLayout w:type="fixed"/>
        <w:tblCellMar>
          <w:top w:w="0" w:type="dxa"/>
          <w:left w:w="0" w:type="dxa"/>
          <w:bottom w:w="28" w:type="dxa"/>
          <w:right w:w="0" w:type="dxa"/>
        </w:tblCellMar>
      </w:tblPr>
      <w:tblGrid>
        <w:gridCol w:w="3416"/>
        <w:gridCol w:w="60"/>
        <w:gridCol w:w="104"/>
        <w:gridCol w:w="1405"/>
        <w:gridCol w:w="60"/>
        <w:gridCol w:w="60"/>
        <w:gridCol w:w="231"/>
        <w:gridCol w:w="927"/>
        <w:gridCol w:w="60"/>
        <w:gridCol w:w="60"/>
        <w:gridCol w:w="113"/>
        <w:gridCol w:w="1532"/>
        <w:gridCol w:w="60"/>
        <w:gridCol w:w="60"/>
        <w:gridCol w:w="222"/>
        <w:gridCol w:w="1756"/>
        <w:gridCol w:w="79"/>
      </w:tblGrid>
      <w:tr>
        <w:trPr/>
        <w:tc>
          <w:tcPr>
            <w:tcW w:w="3416" w:type="dxa"/>
            <w:tcBorders>
              <w:bottom w:val="single" w:sz="12" w:space="0" w:color="000000"/>
            </w:tcBorders>
            <w:vAlign w:val="bottom"/>
          </w:tcPr>
          <w:p>
            <w:pPr>
              <w:pStyle w:val="TableContents"/>
              <w:bidi w:val="0"/>
              <w:spacing w:before="0" w:after="0"/>
              <w:jc w:val="center"/>
              <w:rPr>
                <w:b/>
                <w:color w:val="000000"/>
              </w:rPr>
            </w:pPr>
            <w:r>
              <w:rPr>
                <w:b/>
                <w:color w:val="000000"/>
              </w:rPr>
              <w:t>Period</w:t>
            </w:r>
          </w:p>
        </w:tc>
        <w:tc>
          <w:tcPr>
            <w:tcW w:w="60" w:type="dxa"/>
            <w:tcBorders/>
            <w:tcMar>
              <w:bottom w:w="0" w:type="dxa"/>
            </w:tcMar>
            <w:vAlign w:val="bottom"/>
          </w:tcPr>
          <w:p>
            <w:pPr>
              <w:pStyle w:val="TableContents"/>
              <w:bidi w:val="0"/>
              <w:spacing w:before="0" w:after="283"/>
              <w:jc w:val="left"/>
              <w:rPr/>
            </w:pPr>
            <w:r>
              <w:rPr/>
              <w:t> </w:t>
            </w:r>
          </w:p>
        </w:tc>
        <w:tc>
          <w:tcPr>
            <w:tcW w:w="1509"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number</w:t>
            </w:r>
          </w:p>
          <w:p>
            <w:pPr>
              <w:pStyle w:val="TableContents"/>
              <w:bidi w:val="0"/>
              <w:spacing w:before="0" w:after="0"/>
              <w:jc w:val="center"/>
              <w:rPr>
                <w:b/>
                <w:color w:val="000000"/>
              </w:rPr>
            </w:pPr>
            <w:r>
              <w:rPr>
                <w:b/>
                <w:color w:val="000000"/>
              </w:rPr>
              <w:t>of shares</w:t>
            </w:r>
          </w:p>
          <w:p>
            <w:pPr>
              <w:pStyle w:val="TableContents"/>
              <w:bidi w:val="0"/>
              <w:spacing w:lineRule="auto" w:line="240" w:before="0" w:after="0"/>
              <w:jc w:val="center"/>
              <w:rPr>
                <w:b/>
                <w:color w:val="000000"/>
              </w:rPr>
            </w:pPr>
            <w:r>
              <w:rPr>
                <w:b/>
                <w:color w:val="000000"/>
              </w:rPr>
              <w:t>repurchased (1)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58"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Average </w:t>
            </w:r>
          </w:p>
          <w:p>
            <w:pPr>
              <w:pStyle w:val="TableContents"/>
              <w:bidi w:val="0"/>
              <w:spacing w:before="0" w:after="0"/>
              <w:jc w:val="center"/>
              <w:rPr>
                <w:b/>
                <w:color w:val="000000"/>
              </w:rPr>
            </w:pPr>
            <w:r>
              <w:rPr>
                <w:b/>
                <w:color w:val="000000"/>
              </w:rPr>
              <w:t xml:space="preserve">price paid </w:t>
            </w:r>
          </w:p>
          <w:p>
            <w:pPr>
              <w:pStyle w:val="TableContents"/>
              <w:bidi w:val="0"/>
              <w:spacing w:lineRule="auto" w:line="240" w:before="0" w:after="0"/>
              <w:jc w:val="center"/>
              <w:rPr>
                <w:b/>
                <w:color w:val="000000"/>
              </w:rPr>
            </w:pPr>
            <w:r>
              <w:rPr>
                <w:b/>
                <w:color w:val="000000"/>
              </w:rPr>
              <w:t>per share (2)</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45" w:type="dxa"/>
            <w:gridSpan w:val="2"/>
            <w:tcBorders>
              <w:bottom w:val="single" w:sz="12" w:space="0" w:color="000000"/>
            </w:tcBorders>
            <w:vAlign w:val="center"/>
          </w:tcPr>
          <w:p>
            <w:pPr>
              <w:pStyle w:val="TableContents"/>
              <w:bidi w:val="0"/>
              <w:spacing w:before="0" w:after="0"/>
              <w:jc w:val="center"/>
              <w:rPr>
                <w:b/>
                <w:color w:val="000000"/>
              </w:rPr>
            </w:pPr>
            <w:r>
              <w:rPr>
                <w:b/>
                <w:color w:val="000000"/>
              </w:rPr>
              <w:t xml:space="preserve">Total number of </w:t>
            </w:r>
          </w:p>
          <w:p>
            <w:pPr>
              <w:pStyle w:val="TableContents"/>
              <w:bidi w:val="0"/>
              <w:spacing w:before="0" w:after="0"/>
              <w:jc w:val="center"/>
              <w:rPr>
                <w:b/>
                <w:color w:val="000000"/>
              </w:rPr>
            </w:pPr>
            <w:r>
              <w:rPr>
                <w:b/>
                <w:color w:val="000000"/>
              </w:rPr>
              <w:t xml:space="preserve">shares purchased </w:t>
            </w:r>
          </w:p>
          <w:p>
            <w:pPr>
              <w:pStyle w:val="TableContents"/>
              <w:bidi w:val="0"/>
              <w:spacing w:before="0" w:after="0"/>
              <w:jc w:val="center"/>
              <w:rPr>
                <w:b/>
                <w:color w:val="000000"/>
              </w:rPr>
            </w:pPr>
            <w:r>
              <w:rPr>
                <w:b/>
                <w:color w:val="000000"/>
              </w:rPr>
              <w:t xml:space="preserve">as part of publicly </w:t>
            </w:r>
          </w:p>
          <w:p>
            <w:pPr>
              <w:pStyle w:val="TableContents"/>
              <w:bidi w:val="0"/>
              <w:spacing w:before="0" w:after="0"/>
              <w:jc w:val="center"/>
              <w:rPr>
                <w:b/>
                <w:color w:val="000000"/>
              </w:rPr>
            </w:pPr>
            <w:r>
              <w:rPr>
                <w:b/>
                <w:color w:val="000000"/>
              </w:rPr>
              <w:t xml:space="preserve">announced plans </w:t>
            </w:r>
          </w:p>
          <w:p>
            <w:pPr>
              <w:pStyle w:val="TableContents"/>
              <w:bidi w:val="0"/>
              <w:spacing w:lineRule="auto" w:line="240" w:before="0" w:after="0"/>
              <w:jc w:val="center"/>
              <w:rPr>
                <w:b/>
                <w:color w:val="000000"/>
              </w:rPr>
            </w:pPr>
            <w:r>
              <w:rPr>
                <w:b/>
                <w:color w:val="000000"/>
              </w:rPr>
              <w:t>or programs (3)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978" w:type="dxa"/>
            <w:gridSpan w:val="2"/>
            <w:tcBorders>
              <w:bottom w:val="single" w:sz="12" w:space="0" w:color="000000"/>
            </w:tcBorders>
            <w:vAlign w:val="center"/>
          </w:tcPr>
          <w:p>
            <w:pPr>
              <w:pStyle w:val="TableContents"/>
              <w:bidi w:val="0"/>
              <w:spacing w:before="0" w:after="0"/>
              <w:jc w:val="center"/>
              <w:rPr>
                <w:b/>
                <w:color w:val="000000"/>
              </w:rPr>
            </w:pPr>
            <w:r>
              <w:rPr>
                <w:b/>
                <w:color w:val="000000"/>
              </w:rPr>
              <w:t xml:space="preserve">Approximate dollar </w:t>
            </w:r>
          </w:p>
          <w:p>
            <w:pPr>
              <w:pStyle w:val="TableContents"/>
              <w:bidi w:val="0"/>
              <w:spacing w:before="0" w:after="0"/>
              <w:jc w:val="center"/>
              <w:rPr>
                <w:b/>
                <w:color w:val="000000"/>
              </w:rPr>
            </w:pPr>
            <w:r>
              <w:rPr>
                <w:b/>
                <w:color w:val="000000"/>
              </w:rPr>
              <w:t xml:space="preserve">value of shares that </w:t>
            </w:r>
          </w:p>
          <w:p>
            <w:pPr>
              <w:pStyle w:val="TableContents"/>
              <w:bidi w:val="0"/>
              <w:spacing w:before="0" w:after="0"/>
              <w:jc w:val="center"/>
              <w:rPr>
                <w:b/>
                <w:color w:val="000000"/>
              </w:rPr>
            </w:pPr>
            <w:r>
              <w:rPr>
                <w:b/>
                <w:color w:val="000000"/>
              </w:rPr>
              <w:t xml:space="preserve">may yet be purchased </w:t>
            </w:r>
          </w:p>
          <w:p>
            <w:pPr>
              <w:pStyle w:val="TableContents"/>
              <w:bidi w:val="0"/>
              <w:spacing w:before="0" w:after="0"/>
              <w:jc w:val="center"/>
              <w:rPr>
                <w:b/>
                <w:color w:val="000000"/>
              </w:rPr>
            </w:pPr>
            <w:r>
              <w:rPr>
                <w:b/>
                <w:color w:val="000000"/>
              </w:rPr>
              <w:t xml:space="preserve">under the plans or </w:t>
            </w:r>
          </w:p>
          <w:p>
            <w:pPr>
              <w:pStyle w:val="TableContents"/>
              <w:bidi w:val="0"/>
              <w:spacing w:lineRule="auto" w:line="240" w:before="0" w:after="0"/>
              <w:jc w:val="center"/>
              <w:rPr>
                <w:b/>
                <w:color w:val="000000"/>
              </w:rPr>
            </w:pPr>
            <w:r>
              <w:rPr>
                <w:b/>
                <w:color w:val="000000"/>
              </w:rPr>
              <w:t>programs (3)</w:t>
            </w:r>
          </w:p>
        </w:tc>
        <w:tc>
          <w:tcPr>
            <w:tcW w:w="79" w:type="dxa"/>
            <w:tcBorders/>
            <w:tcMar>
              <w:bottom w:w="0" w:type="dxa"/>
            </w:tcMar>
            <w:vAlign w:val="bottom"/>
          </w:tcPr>
          <w:p>
            <w:pPr>
              <w:pStyle w:val="TableContents"/>
              <w:bidi w:val="0"/>
              <w:spacing w:before="0" w:after="283"/>
              <w:jc w:val="left"/>
              <w:rPr/>
            </w:pPr>
            <w:r>
              <w:rPr/>
              <w:t> </w:t>
            </w:r>
          </w:p>
        </w:tc>
      </w:tr>
      <w:tr>
        <w:trPr/>
        <w:tc>
          <w:tcPr>
            <w:tcW w:w="3416" w:type="dxa"/>
            <w:tcBorders/>
            <w:shd w:fill="CCEEFF" w:val="clear"/>
            <w:tcMar>
              <w:bottom w:w="0" w:type="dxa"/>
            </w:tcMar>
            <w:vAlign w:val="bottom"/>
          </w:tcPr>
          <w:p>
            <w:pPr>
              <w:pStyle w:val="TableContents"/>
              <w:bidi w:val="0"/>
              <w:spacing w:before="0" w:after="0"/>
              <w:jc w:val="left"/>
              <w:rPr>
                <w:color w:val="000000"/>
              </w:rPr>
            </w:pPr>
            <w:r>
              <w:rPr>
                <w:color w:val="000000"/>
              </w:rPr>
              <w:t>October 29, 2023 through November 25, 2023</w:t>
            </w:r>
          </w:p>
        </w:tc>
        <w:tc>
          <w:tcPr>
            <w:tcW w:w="60" w:type="dxa"/>
            <w:tcBorders/>
            <w:shd w:fill="CCEEFF" w:val="clear"/>
            <w:tcMar>
              <w:bottom w:w="0" w:type="dxa"/>
            </w:tcMar>
            <w:vAlign w:val="bottom"/>
          </w:tcPr>
          <w:p>
            <w:pPr>
              <w:pStyle w:val="TableContents"/>
              <w:bidi w:val="0"/>
              <w:spacing w:before="0" w:after="283"/>
              <w:jc w:val="left"/>
              <w:rPr/>
            </w:pPr>
            <w:r>
              <w:rPr/>
              <w:t> </w:t>
            </w:r>
          </w:p>
        </w:tc>
        <w:tc>
          <w:tcPr>
            <w:tcW w:w="104" w:type="dxa"/>
            <w:tcBorders/>
            <w:shd w:fill="CCEEFF" w:val="clear"/>
            <w:tcMar>
              <w:bottom w:w="0" w:type="dxa"/>
            </w:tcMar>
            <w:vAlign w:val="bottom"/>
          </w:tcPr>
          <w:p>
            <w:pPr>
              <w:pStyle w:val="TableContents"/>
              <w:bidi w:val="0"/>
              <w:spacing w:before="0" w:after="283"/>
              <w:jc w:val="left"/>
              <w:rPr/>
            </w:pPr>
            <w:r>
              <w:rPr/>
              <w:t> </w:t>
            </w:r>
          </w:p>
        </w:tc>
        <w:tc>
          <w:tcPr>
            <w:tcW w:w="1405"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1" w:type="dxa"/>
            <w:tcBorders/>
            <w:shd w:fill="CCEEFF" w:val="clear"/>
            <w:tcMar>
              <w:bottom w:w="0" w:type="dxa"/>
            </w:tcMar>
            <w:vAlign w:val="bottom"/>
          </w:tcPr>
          <w:p>
            <w:pPr>
              <w:pStyle w:val="TableContents"/>
              <w:bidi w:val="0"/>
              <w:spacing w:before="0" w:after="283"/>
              <w:jc w:val="left"/>
              <w:rPr/>
            </w:pPr>
            <w:r>
              <w:rPr/>
              <w:t> </w:t>
            </w:r>
          </w:p>
        </w:tc>
        <w:tc>
          <w:tcPr>
            <w:tcW w:w="927"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3" w:type="dxa"/>
            <w:tcBorders/>
            <w:shd w:fill="CCEEFF" w:val="clear"/>
            <w:tcMar>
              <w:bottom w:w="0" w:type="dxa"/>
            </w:tcMar>
            <w:vAlign w:val="bottom"/>
          </w:tcPr>
          <w:p>
            <w:pPr>
              <w:pStyle w:val="TableContents"/>
              <w:bidi w:val="0"/>
              <w:spacing w:before="0" w:after="283"/>
              <w:jc w:val="left"/>
              <w:rPr/>
            </w:pPr>
            <w:r>
              <w:rPr/>
              <w:t> </w:t>
            </w:r>
          </w:p>
        </w:tc>
        <w:tc>
          <w:tcPr>
            <w:tcW w:w="1532"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756" w:type="dxa"/>
            <w:tcBorders/>
            <w:shd w:fill="CCEEFF" w:val="clear"/>
            <w:tcMar>
              <w:bottom w:w="0" w:type="dxa"/>
            </w:tcMar>
            <w:vAlign w:val="bottom"/>
          </w:tcPr>
          <w:p>
            <w:pPr>
              <w:pStyle w:val="TableContents"/>
              <w:bidi w:val="0"/>
              <w:spacing w:before="0" w:after="0"/>
              <w:jc w:val="right"/>
              <w:rPr>
                <w:color w:val="000000"/>
              </w:rPr>
            </w:pPr>
            <w:r>
              <w:rPr>
                <w:color w:val="000000"/>
              </w:rPr>
              <w:t>98,389,572</w:t>
            </w:r>
          </w:p>
        </w:tc>
        <w:tc>
          <w:tcPr>
            <w:tcW w:w="79" w:type="dxa"/>
            <w:tcBorders/>
            <w:shd w:fill="CCEEFF" w:val="clear"/>
            <w:tcMar>
              <w:bottom w:w="0" w:type="dxa"/>
            </w:tcMar>
            <w:vAlign w:val="bottom"/>
          </w:tcPr>
          <w:p>
            <w:pPr>
              <w:pStyle w:val="TableContents"/>
              <w:bidi w:val="0"/>
              <w:spacing w:before="0" w:after="283"/>
              <w:jc w:val="left"/>
              <w:rPr/>
            </w:pPr>
            <w:r>
              <w:rPr/>
              <w:t> </w:t>
            </w:r>
          </w:p>
        </w:tc>
      </w:tr>
      <w:tr>
        <w:trPr/>
        <w:tc>
          <w:tcPr>
            <w:tcW w:w="3416" w:type="dxa"/>
            <w:tcBorders/>
            <w:tcMar>
              <w:bottom w:w="0" w:type="dxa"/>
            </w:tcMar>
            <w:vAlign w:val="bottom"/>
          </w:tcPr>
          <w:p>
            <w:pPr>
              <w:pStyle w:val="TableContents"/>
              <w:bidi w:val="0"/>
              <w:spacing w:before="0" w:after="0"/>
              <w:jc w:val="left"/>
              <w:rPr>
                <w:color w:val="000000"/>
              </w:rPr>
            </w:pPr>
            <w:r>
              <w:rPr>
                <w:color w:val="000000"/>
              </w:rPr>
              <w:t>November 26, 2023 through December 30, 2023</w:t>
            </w:r>
          </w:p>
        </w:tc>
        <w:tc>
          <w:tcPr>
            <w:tcW w:w="60" w:type="dxa"/>
            <w:tcBorders/>
            <w:tcMar>
              <w:bottom w:w="0" w:type="dxa"/>
            </w:tcMar>
            <w:vAlign w:val="bottom"/>
          </w:tcPr>
          <w:p>
            <w:pPr>
              <w:pStyle w:val="TableContents"/>
              <w:bidi w:val="0"/>
              <w:spacing w:before="0" w:after="283"/>
              <w:jc w:val="left"/>
              <w:rPr/>
            </w:pPr>
            <w:r>
              <w:rPr/>
              <w:t> </w:t>
            </w:r>
          </w:p>
        </w:tc>
        <w:tc>
          <w:tcPr>
            <w:tcW w:w="104" w:type="dxa"/>
            <w:tcBorders/>
            <w:tcMar>
              <w:bottom w:w="0" w:type="dxa"/>
            </w:tcMar>
            <w:vAlign w:val="bottom"/>
          </w:tcPr>
          <w:p>
            <w:pPr>
              <w:pStyle w:val="TableContents"/>
              <w:bidi w:val="0"/>
              <w:spacing w:before="0" w:after="283"/>
              <w:jc w:val="left"/>
              <w:rPr/>
            </w:pPr>
            <w:r>
              <w:rPr/>
              <w:t> </w:t>
            </w:r>
          </w:p>
        </w:tc>
        <w:tc>
          <w:tcPr>
            <w:tcW w:w="1405" w:type="dxa"/>
            <w:tcBorders/>
            <w:tcMar>
              <w:bottom w:w="0" w:type="dxa"/>
            </w:tcMar>
            <w:vAlign w:val="bottom"/>
          </w:tcPr>
          <w:p>
            <w:pPr>
              <w:pStyle w:val="TableContents"/>
              <w:bidi w:val="0"/>
              <w:spacing w:before="0" w:after="0"/>
              <w:jc w:val="right"/>
              <w:rPr>
                <w:color w:val="000000"/>
              </w:rPr>
            </w:pPr>
            <w:r>
              <w:rPr>
                <w:color w:val="000000"/>
              </w:rPr>
              <w:t>68,299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31" w:type="dxa"/>
            <w:tcBorders/>
            <w:tcMar>
              <w:bottom w:w="0" w:type="dxa"/>
            </w:tcMar>
            <w:vAlign w:val="bottom"/>
          </w:tcPr>
          <w:p>
            <w:pPr>
              <w:pStyle w:val="TableContents"/>
              <w:bidi w:val="0"/>
              <w:spacing w:before="0" w:after="0"/>
              <w:jc w:val="left"/>
              <w:rPr>
                <w:color w:val="000000"/>
              </w:rPr>
            </w:pPr>
            <w:r>
              <w:rPr>
                <w:color w:val="000000"/>
              </w:rPr>
              <w:t>$</w:t>
            </w:r>
          </w:p>
        </w:tc>
        <w:tc>
          <w:tcPr>
            <w:tcW w:w="927" w:type="dxa"/>
            <w:tcBorders/>
            <w:tcMar>
              <w:bottom w:w="0" w:type="dxa"/>
            </w:tcMar>
            <w:vAlign w:val="bottom"/>
          </w:tcPr>
          <w:p>
            <w:pPr>
              <w:pStyle w:val="TableContents"/>
              <w:bidi w:val="0"/>
              <w:spacing w:before="0" w:after="0"/>
              <w:jc w:val="right"/>
              <w:rPr>
                <w:color w:val="000000"/>
              </w:rPr>
            </w:pPr>
            <w:r>
              <w:rPr>
                <w:color w:val="000000"/>
              </w:rPr>
              <w:t>72.71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3" w:type="dxa"/>
            <w:tcBorders/>
            <w:tcMar>
              <w:bottom w:w="0" w:type="dxa"/>
            </w:tcMar>
            <w:vAlign w:val="bottom"/>
          </w:tcPr>
          <w:p>
            <w:pPr>
              <w:pStyle w:val="TableContents"/>
              <w:bidi w:val="0"/>
              <w:spacing w:before="0" w:after="283"/>
              <w:jc w:val="left"/>
              <w:rPr/>
            </w:pPr>
            <w:r>
              <w:rPr/>
              <w:t> </w:t>
            </w:r>
          </w:p>
        </w:tc>
        <w:tc>
          <w:tcPr>
            <w:tcW w:w="1532" w:type="dxa"/>
            <w:tcBorders/>
            <w:tcMar>
              <w:bottom w:w="0" w:type="dxa"/>
            </w:tcMar>
            <w:vAlign w:val="bottom"/>
          </w:tcPr>
          <w:p>
            <w:pPr>
              <w:pStyle w:val="TableContents"/>
              <w:bidi w:val="0"/>
              <w:spacing w:before="0" w:after="0"/>
              <w:jc w:val="right"/>
              <w:rPr>
                <w:color w:val="000000"/>
              </w:rPr>
            </w:pPr>
            <w:r>
              <w:rPr>
                <w:color w:val="000000"/>
              </w:rPr>
              <w:t>68,299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22" w:type="dxa"/>
            <w:tcBorders/>
            <w:tcMar>
              <w:bottom w:w="0" w:type="dxa"/>
            </w:tcMar>
            <w:vAlign w:val="bottom"/>
          </w:tcPr>
          <w:p>
            <w:pPr>
              <w:pStyle w:val="TableContents"/>
              <w:bidi w:val="0"/>
              <w:spacing w:before="0" w:after="0"/>
              <w:jc w:val="left"/>
              <w:rPr>
                <w:color w:val="000000"/>
              </w:rPr>
            </w:pPr>
            <w:r>
              <w:rPr>
                <w:color w:val="000000"/>
              </w:rPr>
              <w:t>$</w:t>
            </w:r>
          </w:p>
        </w:tc>
        <w:tc>
          <w:tcPr>
            <w:tcW w:w="1756" w:type="dxa"/>
            <w:tcBorders/>
            <w:tcMar>
              <w:bottom w:w="0" w:type="dxa"/>
            </w:tcMar>
            <w:vAlign w:val="bottom"/>
          </w:tcPr>
          <w:p>
            <w:pPr>
              <w:pStyle w:val="TableContents"/>
              <w:bidi w:val="0"/>
              <w:spacing w:before="0" w:after="0"/>
              <w:jc w:val="right"/>
              <w:rPr>
                <w:color w:val="000000"/>
              </w:rPr>
            </w:pPr>
            <w:r>
              <w:rPr>
                <w:color w:val="000000"/>
              </w:rPr>
              <w:t>93,387,292</w:t>
            </w:r>
          </w:p>
        </w:tc>
        <w:tc>
          <w:tcPr>
            <w:tcW w:w="79" w:type="dxa"/>
            <w:tcBorders/>
            <w:tcMar>
              <w:bottom w:w="0" w:type="dxa"/>
            </w:tcMar>
            <w:vAlign w:val="bottom"/>
          </w:tcPr>
          <w:p>
            <w:pPr>
              <w:pStyle w:val="TableContents"/>
              <w:bidi w:val="0"/>
              <w:spacing w:before="0" w:after="283"/>
              <w:jc w:val="left"/>
              <w:rPr/>
            </w:pPr>
            <w:r>
              <w:rPr/>
              <w:t> </w:t>
            </w:r>
          </w:p>
        </w:tc>
      </w:tr>
      <w:tr>
        <w:trPr/>
        <w:tc>
          <w:tcPr>
            <w:tcW w:w="3416" w:type="dxa"/>
            <w:tcBorders/>
            <w:shd w:fill="CCEEFF" w:val="clear"/>
            <w:tcMar>
              <w:bottom w:w="0" w:type="dxa"/>
            </w:tcMar>
            <w:vAlign w:val="bottom"/>
          </w:tcPr>
          <w:p>
            <w:pPr>
              <w:pStyle w:val="TableContents"/>
              <w:bidi w:val="0"/>
              <w:spacing w:before="0" w:after="0"/>
              <w:jc w:val="left"/>
              <w:rPr>
                <w:color w:val="000000"/>
              </w:rPr>
            </w:pPr>
            <w:r>
              <w:rPr>
                <w:color w:val="000000"/>
              </w:rPr>
              <w:t>December 31, 2023 through February 3,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04" w:type="dxa"/>
            <w:tcBorders>
              <w:bottom w:val="single" w:sz="12" w:space="0" w:color="000000"/>
            </w:tcBorders>
            <w:shd w:fill="CCEEFF" w:val="clear"/>
            <w:vAlign w:val="bottom"/>
          </w:tcPr>
          <w:p>
            <w:pPr>
              <w:pStyle w:val="TableContents"/>
              <w:bidi w:val="0"/>
              <w:spacing w:before="0" w:after="283"/>
              <w:jc w:val="left"/>
              <w:rPr/>
            </w:pPr>
            <w:r>
              <w:rPr/>
              <w:t> </w:t>
            </w:r>
          </w:p>
        </w:tc>
        <w:tc>
          <w:tcPr>
            <w:tcW w:w="140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105,637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31"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27" w:type="dxa"/>
            <w:tcBorders/>
            <w:shd w:fill="CCEEFF" w:val="clear"/>
            <w:tcMar>
              <w:bottom w:w="0" w:type="dxa"/>
            </w:tcMar>
            <w:vAlign w:val="bottom"/>
          </w:tcPr>
          <w:p>
            <w:pPr>
              <w:pStyle w:val="TableContents"/>
              <w:bidi w:val="0"/>
              <w:spacing w:before="0" w:after="0"/>
              <w:jc w:val="right"/>
              <w:rPr>
                <w:color w:val="000000"/>
              </w:rPr>
            </w:pPr>
            <w:r>
              <w:rPr>
                <w:color w:val="000000"/>
              </w:rPr>
              <w:t>72.60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13" w:type="dxa"/>
            <w:tcBorders>
              <w:bottom w:val="single" w:sz="12" w:space="0" w:color="000000"/>
            </w:tcBorders>
            <w:shd w:fill="CCEEFF" w:val="clear"/>
            <w:vAlign w:val="bottom"/>
          </w:tcPr>
          <w:p>
            <w:pPr>
              <w:pStyle w:val="TableContents"/>
              <w:bidi w:val="0"/>
              <w:spacing w:before="0" w:after="283"/>
              <w:jc w:val="left"/>
              <w:rPr/>
            </w:pPr>
            <w:r>
              <w:rPr/>
              <w:t> </w:t>
            </w:r>
          </w:p>
        </w:tc>
        <w:tc>
          <w:tcPr>
            <w:tcW w:w="1532"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105,637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2"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756" w:type="dxa"/>
            <w:tcBorders/>
            <w:shd w:fill="CCEEFF" w:val="clear"/>
            <w:tcMar>
              <w:bottom w:w="0" w:type="dxa"/>
            </w:tcMar>
            <w:vAlign w:val="bottom"/>
          </w:tcPr>
          <w:p>
            <w:pPr>
              <w:pStyle w:val="TableContents"/>
              <w:bidi w:val="0"/>
              <w:spacing w:before="0" w:after="0"/>
              <w:jc w:val="right"/>
              <w:rPr>
                <w:color w:val="000000"/>
              </w:rPr>
            </w:pPr>
            <w:r>
              <w:rPr>
                <w:color w:val="000000"/>
              </w:rPr>
              <w:t>85,655,549</w:t>
            </w:r>
          </w:p>
        </w:tc>
        <w:tc>
          <w:tcPr>
            <w:tcW w:w="79" w:type="dxa"/>
            <w:tcBorders/>
            <w:shd w:fill="CCEEFF" w:val="clear"/>
            <w:tcMar>
              <w:bottom w:w="0" w:type="dxa"/>
            </w:tcMar>
            <w:vAlign w:val="bottom"/>
          </w:tcPr>
          <w:p>
            <w:pPr>
              <w:pStyle w:val="TableContents"/>
              <w:bidi w:val="0"/>
              <w:spacing w:before="0" w:after="283"/>
              <w:jc w:val="left"/>
              <w:rPr/>
            </w:pPr>
            <w:r>
              <w:rPr/>
              <w:t> </w:t>
            </w:r>
          </w:p>
        </w:tc>
      </w:tr>
      <w:tr>
        <w:trPr/>
        <w:tc>
          <w:tcPr>
            <w:tcW w:w="3416" w:type="dxa"/>
            <w:tcBorders/>
            <w:tcMar>
              <w:bottom w:w="0" w:type="dxa"/>
            </w:tcMar>
            <w:vAlign w:val="bottom"/>
          </w:tcPr>
          <w:p>
            <w:pPr>
              <w:pStyle w:val="TableContents"/>
              <w:bidi w:val="0"/>
              <w:spacing w:before="0" w:after="0"/>
              <w:jc w:val="left"/>
              <w:rPr>
                <w:color w:val="000000"/>
              </w:rPr>
            </w:pPr>
            <w:r>
              <w:rPr>
                <w:color w:val="000000"/>
              </w:rPr>
              <w:t>Total</w:t>
            </w:r>
          </w:p>
        </w:tc>
        <w:tc>
          <w:tcPr>
            <w:tcW w:w="60" w:type="dxa"/>
            <w:tcBorders/>
            <w:tcMar>
              <w:bottom w:w="0" w:type="dxa"/>
            </w:tcMar>
            <w:vAlign w:val="bottom"/>
          </w:tcPr>
          <w:p>
            <w:pPr>
              <w:pStyle w:val="TableContents"/>
              <w:bidi w:val="0"/>
              <w:spacing w:before="0" w:after="283"/>
              <w:jc w:val="left"/>
              <w:rPr/>
            </w:pPr>
            <w:r>
              <w:rPr/>
              <w:t> </w:t>
            </w:r>
          </w:p>
        </w:tc>
        <w:tc>
          <w:tcPr>
            <w:tcW w:w="104" w:type="dxa"/>
            <w:tcBorders>
              <w:bottom w:val="double" w:sz="8" w:space="0" w:color="000000"/>
            </w:tcBorders>
            <w:vAlign w:val="bottom"/>
          </w:tcPr>
          <w:p>
            <w:pPr>
              <w:pStyle w:val="TableContents"/>
              <w:bidi w:val="0"/>
              <w:spacing w:before="0" w:after="283"/>
              <w:jc w:val="left"/>
              <w:rPr/>
            </w:pPr>
            <w:r>
              <w:rPr/>
              <w:t> </w:t>
            </w:r>
          </w:p>
        </w:tc>
        <w:tc>
          <w:tcPr>
            <w:tcW w:w="1405" w:type="dxa"/>
            <w:tcBorders>
              <w:bottom w:val="double" w:sz="8" w:space="0" w:color="000000"/>
            </w:tcBorders>
            <w:vAlign w:val="bottom"/>
          </w:tcPr>
          <w:p>
            <w:pPr>
              <w:pStyle w:val="TableContents"/>
              <w:bidi w:val="0"/>
              <w:spacing w:before="0" w:after="0"/>
              <w:jc w:val="right"/>
              <w:rPr>
                <w:color w:val="000000"/>
              </w:rPr>
            </w:pPr>
            <w:r>
              <w:rPr>
                <w:color w:val="000000"/>
              </w:rPr>
              <w:t>173,936</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31" w:type="dxa"/>
            <w:tcBorders/>
            <w:tcMar>
              <w:bottom w:w="0" w:type="dxa"/>
            </w:tcMar>
            <w:vAlign w:val="bottom"/>
          </w:tcPr>
          <w:p>
            <w:pPr>
              <w:pStyle w:val="TableContents"/>
              <w:bidi w:val="0"/>
              <w:spacing w:before="0" w:after="283"/>
              <w:jc w:val="left"/>
              <w:rPr/>
            </w:pPr>
            <w:r>
              <w:rPr/>
              <w:t> </w:t>
            </w:r>
          </w:p>
        </w:tc>
        <w:tc>
          <w:tcPr>
            <w:tcW w:w="927"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3" w:type="dxa"/>
            <w:tcBorders>
              <w:bottom w:val="double" w:sz="8" w:space="0" w:color="000000"/>
            </w:tcBorders>
            <w:vAlign w:val="bottom"/>
          </w:tcPr>
          <w:p>
            <w:pPr>
              <w:pStyle w:val="TableContents"/>
              <w:bidi w:val="0"/>
              <w:spacing w:before="0" w:after="283"/>
              <w:jc w:val="left"/>
              <w:rPr/>
            </w:pPr>
            <w:r>
              <w:rPr/>
              <w:t> </w:t>
            </w:r>
          </w:p>
        </w:tc>
        <w:tc>
          <w:tcPr>
            <w:tcW w:w="1532" w:type="dxa"/>
            <w:tcBorders>
              <w:bottom w:val="double" w:sz="8" w:space="0" w:color="000000"/>
            </w:tcBorders>
            <w:vAlign w:val="bottom"/>
          </w:tcPr>
          <w:p>
            <w:pPr>
              <w:pStyle w:val="TableContents"/>
              <w:bidi w:val="0"/>
              <w:spacing w:before="0" w:after="0"/>
              <w:jc w:val="right"/>
              <w:rPr>
                <w:color w:val="000000"/>
              </w:rPr>
            </w:pPr>
            <w:r>
              <w:rPr>
                <w:color w:val="000000"/>
              </w:rPr>
              <w:t>173,936</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22" w:type="dxa"/>
            <w:tcBorders/>
            <w:tcMar>
              <w:bottom w:w="0" w:type="dxa"/>
            </w:tcMar>
            <w:vAlign w:val="bottom"/>
          </w:tcPr>
          <w:p>
            <w:pPr>
              <w:pStyle w:val="TableContents"/>
              <w:bidi w:val="0"/>
              <w:spacing w:before="0" w:after="283"/>
              <w:jc w:val="left"/>
              <w:rPr/>
            </w:pPr>
            <w:r>
              <w:rPr/>
              <w:t> </w:t>
            </w:r>
          </w:p>
        </w:tc>
        <w:tc>
          <w:tcPr>
            <w:tcW w:w="1756" w:type="dxa"/>
            <w:tcBorders/>
            <w:tcMar>
              <w:bottom w:w="0" w:type="dxa"/>
            </w:tcMar>
            <w:vAlign w:val="bottom"/>
          </w:tcPr>
          <w:p>
            <w:pPr>
              <w:pStyle w:val="TableContents"/>
              <w:bidi w:val="0"/>
              <w:spacing w:before="0" w:after="283"/>
              <w:jc w:val="right"/>
              <w:rPr/>
            </w:pPr>
            <w:r>
              <w:rPr/>
              <w:t> </w:t>
            </w:r>
          </w:p>
        </w:tc>
        <w:tc>
          <w:tcPr>
            <w:tcW w:w="79"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283"/>
              <w:jc w:val="left"/>
              <w:rPr>
                <w:color w:val="000000"/>
              </w:rPr>
            </w:pPr>
            <w:r>
              <w:rPr>
                <w:color w:val="000000"/>
              </w:rPr>
              <w:t>(1)</w:t>
            </w:r>
          </w:p>
        </w:tc>
        <w:tc>
          <w:tcPr>
            <w:tcW w:w="8345" w:type="dxa"/>
            <w:tcBorders/>
            <w:vAlign w:val="center"/>
          </w:tcPr>
          <w:p>
            <w:pPr>
              <w:pStyle w:val="TableContents"/>
              <w:bidi w:val="0"/>
              <w:spacing w:before="0" w:after="0"/>
              <w:jc w:val="both"/>
              <w:rPr>
                <w:color w:val="000000"/>
              </w:rPr>
            </w:pPr>
            <w:r>
              <w:rPr>
                <w:color w:val="000000"/>
              </w:rPr>
              <w:t>Consists of shares repurchased under the publicly announced share repurchase program.</w:t>
            </w:r>
          </w:p>
        </w:tc>
      </w:tr>
    </w:tbl>
    <w:p>
      <w:pPr>
        <w:pStyle w:val="TextBody"/>
        <w:bidi w:val="0"/>
        <w:spacing w:before="0" w:after="0"/>
        <w:jc w:val="left"/>
        <w:rPr/>
      </w:pPr>
      <w:r>
        <w:rPr/>
      </w:r>
    </w:p>
    <w:tbl>
      <w:tblPr>
        <w:tblW w:w="8425" w:type="dxa"/>
        <w:jc w:val="left"/>
        <w:tblInd w:w="0" w:type="dxa"/>
        <w:tblLayout w:type="fixed"/>
        <w:tblCellMar>
          <w:top w:w="0" w:type="dxa"/>
          <w:left w:w="0" w:type="dxa"/>
          <w:bottom w:w="0" w:type="dxa"/>
          <w:right w:w="0" w:type="dxa"/>
        </w:tblCellMar>
      </w:tblPr>
      <w:tblGrid>
        <w:gridCol w:w="305"/>
        <w:gridCol w:w="8120"/>
      </w:tblGrid>
      <w:tr>
        <w:trPr/>
        <w:tc>
          <w:tcPr>
            <w:tcW w:w="305" w:type="dxa"/>
            <w:tcBorders/>
            <w:vAlign w:val="center"/>
          </w:tcPr>
          <w:p>
            <w:pPr>
              <w:pStyle w:val="TableContents"/>
              <w:bidi w:val="0"/>
              <w:spacing w:before="0" w:after="283"/>
              <w:jc w:val="left"/>
              <w:rPr>
                <w:color w:val="000000"/>
              </w:rPr>
            </w:pPr>
            <w:r>
              <w:rPr>
                <w:color w:val="000000"/>
              </w:rPr>
              <w:t>(2)</w:t>
            </w:r>
          </w:p>
        </w:tc>
        <w:tc>
          <w:tcPr>
            <w:tcW w:w="8120" w:type="dxa"/>
            <w:tcBorders/>
            <w:vAlign w:val="center"/>
          </w:tcPr>
          <w:p>
            <w:pPr>
              <w:pStyle w:val="TableContents"/>
              <w:bidi w:val="0"/>
              <w:spacing w:before="0" w:after="0"/>
              <w:jc w:val="both"/>
              <w:rPr>
                <w:color w:val="000000"/>
              </w:rPr>
            </w:pPr>
            <w:r>
              <w:rPr>
                <w:color w:val="000000"/>
              </w:rPr>
              <w:t>Includes commissions for the shares repurchased under the share repurchase program.</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color w:val="000000"/>
              </w:rPr>
            </w:pPr>
            <w:r>
              <w:rPr>
                <w:color w:val="000000"/>
              </w:rPr>
              <w:t>(3)</w:t>
            </w:r>
          </w:p>
        </w:tc>
        <w:tc>
          <w:tcPr>
            <w:tcW w:w="9970" w:type="dxa"/>
            <w:tcBorders/>
            <w:vAlign w:val="center"/>
          </w:tcPr>
          <w:p>
            <w:pPr>
              <w:pStyle w:val="TableContents"/>
              <w:bidi w:val="0"/>
              <w:spacing w:before="0" w:after="0"/>
              <w:jc w:val="both"/>
              <w:rPr/>
            </w:pPr>
            <w:r>
              <w:rPr/>
              <w:t xml:space="preserve">On March 26, 2019, the Board of Directors of the Company authorized the repurchase of up to $100.0 million of shares of the Company’s common stock.  This initial tranche expired on March 26, 2021.  The Board authorized the repurchase of another $100.0 million of the Company’s common stock on December 15, 2020, and a $100.0 million increase on March 16, 2021, resulting in $200.0 million approved for share repurchases through January 13, 2023.  On November 30, 2021, the Board authorized an additional $200.0 million to repurchase stock pursuant to the Company’s share repurchase program, expiring on December 15, 2023. On November 30, 2023, the Company’s Board of Directors authorized an extension to the existing share repurchase program set to expire on December 15, 2023, until March 31, 2026.  Shares to be repurchased are subject to the same considerations regarding timing and amount of repurchases as the initial authorization. As of February 3, 2024, the Company had approximately $85.7 million remaining under its share repurchase program.  </w:t>
            </w:r>
            <w:r>
              <w:rPr>
                <w:color w:val="000000"/>
              </w:rPr>
              <w:t>For further discussion on the share repurchase program, see “Part II, Item 7. Management’s Discussion and Analysis of Financial Condition and Results of Operations, Liquidity and Capital Resources, Share Repurchase Program.”</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17" w:name="Reserved"/>
      <w:bookmarkStart w:id="18" w:name="Reserved"/>
      <w:bookmarkEnd w:id="18"/>
    </w:p>
    <w:tbl>
      <w:tblPr>
        <w:tblW w:w="1870" w:type="dxa"/>
        <w:jc w:val="left"/>
        <w:tblInd w:w="0" w:type="dxa"/>
        <w:tblLayout w:type="fixed"/>
        <w:tblCellMar>
          <w:top w:w="0" w:type="dxa"/>
          <w:left w:w="0" w:type="dxa"/>
          <w:bottom w:w="0" w:type="dxa"/>
          <w:right w:w="0" w:type="dxa"/>
        </w:tblCellMar>
      </w:tblPr>
      <w:tblGrid>
        <w:gridCol w:w="740"/>
        <w:gridCol w:w="1130"/>
      </w:tblGrid>
      <w:tr>
        <w:trPr/>
        <w:tc>
          <w:tcPr>
            <w:tcW w:w="740" w:type="dxa"/>
            <w:tcBorders/>
            <w:vAlign w:val="center"/>
          </w:tcPr>
          <w:p>
            <w:pPr>
              <w:pStyle w:val="TableContents"/>
              <w:bidi w:val="0"/>
              <w:spacing w:before="0" w:after="283"/>
              <w:jc w:val="left"/>
              <w:rPr>
                <w:b/>
              </w:rPr>
            </w:pPr>
            <w:r>
              <w:rPr>
                <w:b/>
              </w:rPr>
              <w:t>Item 6.</w:t>
            </w:r>
          </w:p>
        </w:tc>
        <w:tc>
          <w:tcPr>
            <w:tcW w:w="1130" w:type="dxa"/>
            <w:tcBorders/>
            <w:vAlign w:val="center"/>
          </w:tcPr>
          <w:p>
            <w:pPr>
              <w:pStyle w:val="TableContents"/>
              <w:bidi w:val="0"/>
              <w:spacing w:before="0" w:after="0"/>
              <w:jc w:val="left"/>
              <w:rPr>
                <w:b/>
              </w:rPr>
            </w:pPr>
            <w:r>
              <w:rPr>
                <w:b/>
              </w:rPr>
              <w:t>[Reserved]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9" w:name="ManagementsDiscussionandA"/>
      <w:bookmarkStart w:id="20" w:name="ManagementsDiscussionandA"/>
      <w:bookmarkEnd w:id="20"/>
    </w:p>
    <w:tbl>
      <w:tblPr>
        <w:tblW w:w="9790" w:type="dxa"/>
        <w:jc w:val="left"/>
        <w:tblInd w:w="0" w:type="dxa"/>
        <w:tblLayout w:type="fixed"/>
        <w:tblCellMar>
          <w:top w:w="0" w:type="dxa"/>
          <w:left w:w="0" w:type="dxa"/>
          <w:bottom w:w="0" w:type="dxa"/>
          <w:right w:w="0" w:type="dxa"/>
        </w:tblCellMar>
      </w:tblPr>
      <w:tblGrid>
        <w:gridCol w:w="740"/>
        <w:gridCol w:w="9050"/>
      </w:tblGrid>
      <w:tr>
        <w:trPr/>
        <w:tc>
          <w:tcPr>
            <w:tcW w:w="740" w:type="dxa"/>
            <w:tcBorders/>
            <w:vAlign w:val="center"/>
          </w:tcPr>
          <w:p>
            <w:pPr>
              <w:pStyle w:val="TableContents"/>
              <w:bidi w:val="0"/>
              <w:spacing w:before="0" w:after="283"/>
              <w:jc w:val="left"/>
              <w:rPr>
                <w:b/>
              </w:rPr>
            </w:pPr>
            <w:r>
              <w:rPr>
                <w:b/>
              </w:rPr>
              <w:t>Item 7.</w:t>
            </w:r>
          </w:p>
        </w:tc>
        <w:tc>
          <w:tcPr>
            <w:tcW w:w="9050"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You should read the following discussion together with the financial statements and related notes included elsewhere in this Annual Report on Form 10-K. The statements in this discussion regarding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in “Item 1A, Risk Factors” and “Cautionary note regarding forward-looking statements.” Our actual results may differ materially from those contained in or implied by any 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We operate on a fiscal calendar widely used by the retail industry that results in a given fiscal year consisting of a 52- or 53-week period ending on the Saturday nearer January 31 of the following year. References to “2023” refer to the 53 week fiscal year ended February 3, 2024 and references to “2022” refer to the 52 week fiscal year ended January 28, 2023.  References to “2024” refer to the 52-week fiscal year ending February 1,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Ollie’s is America’s largest retailer of closeout merchandise and excess inventory. Our stores sell name brand household related items that consumers use in their everyday lives at prices that are typically 20% to 70% below traditional retailers.  Known for our assortment of “Good Stuff Cheap®,” we offer customers a broad selection of brand name products, including housewares, bed and bath, food, floor coverings, health and beauty aids, books and stationery, toys, and electronics.  Our differentiated go-to market strategy is characterized by a unique, fun, and engaging treasure hunt shopping experience, compelling customer value proposition and witty, humorous in-store signage and advertising campaigns. These attributes have driven our rapid growth and strong store performance as evidenced by our store base expansion from 345 stores to 512 stores and net sales growth from $1.408 billion to $2.103 billion from 2019 to 2023 and average annual net sales per store of $4.3 million for the five-year 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Growth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Since the founding of Ollie’s in 1982, we have grown organically by backfilling existing markets and leveraging our brand awareness, marketing, and infrastructure to expand into new markets in contiguous states.  We have expanded to 512 stores located in 30 states as of February 3,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stores are supported by three distribution centers, one each in York, PA, Commerce, GA, and Lancaster, TX. We completed the expansion of our York, PA distribution center in fiscal 2023 providing an additional 201,000 square feet of distribution capacity. In addition, we broke ground on construction of our fourth distribution center in Princeton, IL in April 2023, the distribution center is expected to be operational in the second half of fiscal 2024. With the expansion of our York, PA distribution center and the addition of our fourth distribution center, we believe our distribution capabilities will support up to 750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invested in our associates, infrastructure, distribution network, and information systems to allow us to continue to rapidly grow our store footprint, including:</w:t>
      </w:r>
    </w:p>
    <w:p>
      <w:pPr>
        <w:pStyle w:val="TextBody"/>
        <w:bidi w:val="0"/>
        <w:spacing w:before="0" w:after="0"/>
        <w:jc w:val="left"/>
        <w:rPr>
          <w:color w:val="000000"/>
          <w:shd w:fill="FFFFFF" w:val="clear"/>
        </w:rPr>
      </w:pPr>
      <w:r>
        <w:rPr>
          <w:color w:val="000000"/>
          <w:shd w:fill="FFFFFF" w:val="clear"/>
        </w:rPr>
        <w:t> </w:t>
      </w:r>
    </w:p>
    <w:tbl>
      <w:tblPr>
        <w:tblW w:w="9168" w:type="dxa"/>
        <w:jc w:val="left"/>
        <w:tblInd w:w="0" w:type="dxa"/>
        <w:tblLayout w:type="fixed"/>
        <w:tblCellMar>
          <w:top w:w="0" w:type="dxa"/>
          <w:left w:w="0" w:type="dxa"/>
          <w:bottom w:w="0" w:type="dxa"/>
          <w:right w:w="0" w:type="dxa"/>
        </w:tblCellMar>
      </w:tblPr>
      <w:tblGrid>
        <w:gridCol w:w="38"/>
        <w:gridCol w:w="110"/>
        <w:gridCol w:w="90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both"/>
              <w:rPr/>
            </w:pPr>
            <w:r>
              <w:rPr/>
              <w:t>growing our merchant buying team to increase our access to brand name/closeout merchandise;</w:t>
            </w:r>
          </w:p>
        </w:tc>
      </w:tr>
    </w:tbl>
    <w:p>
      <w:pPr>
        <w:pStyle w:val="TextBody"/>
        <w:bidi w:val="0"/>
        <w:spacing w:before="0" w:after="0"/>
        <w:jc w:val="left"/>
        <w:rPr>
          <w:color w:val="000000"/>
          <w:shd w:fill="FFFFFF" w:val="clear"/>
        </w:rPr>
      </w:pPr>
      <w:r>
        <w:rPr>
          <w:color w:val="000000"/>
          <w:shd w:fill="FFFFFF" w:val="clear"/>
        </w:rPr>
        <w:t> </w:t>
      </w:r>
    </w:p>
    <w:tbl>
      <w:tblPr>
        <w:tblW w:w="4818" w:type="dxa"/>
        <w:jc w:val="left"/>
        <w:tblInd w:w="0" w:type="dxa"/>
        <w:tblLayout w:type="fixed"/>
        <w:tblCellMar>
          <w:top w:w="0" w:type="dxa"/>
          <w:left w:w="0" w:type="dxa"/>
          <w:bottom w:w="0" w:type="dxa"/>
          <w:right w:w="0" w:type="dxa"/>
        </w:tblCellMar>
      </w:tblPr>
      <w:tblGrid>
        <w:gridCol w:w="38"/>
        <w:gridCol w:w="110"/>
        <w:gridCol w:w="46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0"/>
              <w:jc w:val="both"/>
              <w:rPr/>
            </w:pPr>
            <w:r>
              <w:rPr/>
              <w:t>adding members to our senior management team;</w:t>
            </w:r>
          </w:p>
        </w:tc>
      </w:tr>
    </w:tbl>
    <w:p>
      <w:pPr>
        <w:pStyle w:val="TextBody"/>
        <w:bidi w:val="0"/>
        <w:spacing w:before="0" w:after="0"/>
        <w:jc w:val="left"/>
        <w:rPr>
          <w:color w:val="000000"/>
          <w:shd w:fill="FFFFFF" w:val="clear"/>
        </w:rPr>
      </w:pPr>
      <w:r>
        <w:rPr>
          <w:color w:val="000000"/>
          <w:shd w:fill="FFFFFF" w:val="clear"/>
        </w:rPr>
        <w:t> </w:t>
      </w:r>
    </w:p>
    <w:tbl>
      <w:tblPr>
        <w:tblW w:w="8898" w:type="dxa"/>
        <w:jc w:val="left"/>
        <w:tblInd w:w="0" w:type="dxa"/>
        <w:tblLayout w:type="fixed"/>
        <w:tblCellMar>
          <w:top w:w="0" w:type="dxa"/>
          <w:left w:w="0" w:type="dxa"/>
          <w:bottom w:w="0" w:type="dxa"/>
          <w:right w:w="0" w:type="dxa"/>
        </w:tblCellMar>
      </w:tblPr>
      <w:tblGrid>
        <w:gridCol w:w="38"/>
        <w:gridCol w:w="110"/>
        <w:gridCol w:w="87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0"/>
              <w:jc w:val="both"/>
              <w:rPr/>
            </w:pPr>
            <w:r>
              <w:rPr/>
              <w:t>expanding the capacity of our distribution centers to their current 2.4 million square feet; and</w:t>
            </w:r>
          </w:p>
        </w:tc>
      </w:tr>
    </w:tbl>
    <w:p>
      <w:pPr>
        <w:pStyle w:val="TextBody"/>
        <w:bidi w:val="0"/>
        <w:spacing w:before="0" w:after="0"/>
        <w:jc w:val="left"/>
        <w:rPr>
          <w:color w:val="000000"/>
          <w:shd w:fill="FFFFFF" w:val="clear"/>
        </w:rPr>
      </w:pPr>
      <w:r>
        <w:rPr>
          <w:color w:val="000000"/>
          <w:shd w:fill="FFFFFF" w:val="clear"/>
        </w:rPr>
        <w:t> </w:t>
      </w:r>
    </w:p>
    <w:tbl>
      <w:tblPr>
        <w:tblW w:w="8358" w:type="dxa"/>
        <w:jc w:val="left"/>
        <w:tblInd w:w="0" w:type="dxa"/>
        <w:tblLayout w:type="fixed"/>
        <w:tblCellMar>
          <w:top w:w="0" w:type="dxa"/>
          <w:left w:w="0" w:type="dxa"/>
          <w:bottom w:w="0" w:type="dxa"/>
          <w:right w:w="0" w:type="dxa"/>
        </w:tblCellMar>
      </w:tblPr>
      <w:tblGrid>
        <w:gridCol w:w="38"/>
        <w:gridCol w:w="110"/>
        <w:gridCol w:w="82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0"/>
              <w:jc w:val="both"/>
              <w:rPr/>
            </w:pPr>
            <w:r>
              <w:rPr/>
              <w:t>investing in information technology, accounting, and warehouse management systems.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model has produced consistent and predictable store growth over the past several years, during both strong and weaker economic cycles.  We plan to continue to enhance our competitive positioning and drive growth in sales and profitability by executing on the following strategies:</w:t>
      </w:r>
    </w:p>
    <w:p>
      <w:pPr>
        <w:pStyle w:val="TextBody"/>
        <w:bidi w:val="0"/>
        <w:spacing w:before="0" w:after="0"/>
        <w:jc w:val="left"/>
        <w:rPr>
          <w:color w:val="000000"/>
          <w:shd w:fill="FFFFFF" w:val="clear"/>
        </w:rPr>
      </w:pPr>
      <w:r>
        <w:rPr>
          <w:color w:val="000000"/>
          <w:shd w:fill="FFFFFF" w:val="clear"/>
        </w:rPr>
        <w:t> </w:t>
      </w:r>
    </w:p>
    <w:tbl>
      <w:tblPr>
        <w:tblW w:w="2403" w:type="dxa"/>
        <w:jc w:val="left"/>
        <w:tblInd w:w="0" w:type="dxa"/>
        <w:tblLayout w:type="fixed"/>
        <w:tblCellMar>
          <w:top w:w="0" w:type="dxa"/>
          <w:left w:w="0" w:type="dxa"/>
          <w:bottom w:w="0" w:type="dxa"/>
          <w:right w:w="0" w:type="dxa"/>
        </w:tblCellMar>
      </w:tblPr>
      <w:tblGrid>
        <w:gridCol w:w="38"/>
        <w:gridCol w:w="110"/>
        <w:gridCol w:w="2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0"/>
              <w:jc w:val="both"/>
              <w:rPr/>
            </w:pPr>
            <w:r>
              <w:rPr/>
              <w:t>growing our store base;</w:t>
            </w:r>
          </w:p>
        </w:tc>
      </w:tr>
    </w:tbl>
    <w:p>
      <w:pPr>
        <w:pStyle w:val="TextBody"/>
        <w:bidi w:val="0"/>
        <w:spacing w:before="0" w:after="0"/>
        <w:jc w:val="left"/>
        <w:rPr>
          <w:color w:val="000000"/>
          <w:shd w:fill="FFFFFF" w:val="clear"/>
        </w:rPr>
      </w:pPr>
      <w:r>
        <w:rPr>
          <w:color w:val="000000"/>
          <w:shd w:fill="FFFFFF" w:val="clear"/>
        </w:rPr>
        <w:t> </w:t>
      </w:r>
    </w:p>
    <w:tbl>
      <w:tblPr>
        <w:tblW w:w="4518" w:type="dxa"/>
        <w:jc w:val="left"/>
        <w:tblInd w:w="0" w:type="dxa"/>
        <w:tblLayout w:type="fixed"/>
        <w:tblCellMar>
          <w:top w:w="0" w:type="dxa"/>
          <w:left w:w="0" w:type="dxa"/>
          <w:bottom w:w="0" w:type="dxa"/>
          <w:right w:w="0" w:type="dxa"/>
        </w:tblCellMar>
      </w:tblPr>
      <w:tblGrid>
        <w:gridCol w:w="38"/>
        <w:gridCol w:w="110"/>
        <w:gridCol w:w="43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0"/>
              <w:jc w:val="both"/>
              <w:rPr/>
            </w:pPr>
            <w:r>
              <w:rPr/>
              <w:t>increasing our offerings of great bargains; and</w:t>
            </w:r>
          </w:p>
        </w:tc>
      </w:tr>
    </w:tbl>
    <w:p>
      <w:pPr>
        <w:pStyle w:val="TextBody"/>
        <w:bidi w:val="0"/>
        <w:spacing w:before="0" w:after="0"/>
        <w:jc w:val="left"/>
        <w:rPr>
          <w:color w:val="000000"/>
          <w:shd w:fill="FFFFFF" w:val="clear"/>
        </w:rPr>
      </w:pPr>
      <w:r>
        <w:rPr>
          <w:color w:val="000000"/>
          <w:shd w:fill="FFFFFF" w:val="clear"/>
        </w:rPr>
        <w:t> </w:t>
      </w:r>
    </w:p>
    <w:tbl>
      <w:tblPr>
        <w:tblW w:w="3993" w:type="dxa"/>
        <w:jc w:val="left"/>
        <w:tblInd w:w="0" w:type="dxa"/>
        <w:tblLayout w:type="fixed"/>
        <w:tblCellMar>
          <w:top w:w="0" w:type="dxa"/>
          <w:left w:w="0" w:type="dxa"/>
          <w:bottom w:w="0" w:type="dxa"/>
          <w:right w:w="0" w:type="dxa"/>
        </w:tblCellMar>
      </w:tblPr>
      <w:tblGrid>
        <w:gridCol w:w="38"/>
        <w:gridCol w:w="110"/>
        <w:gridCol w:w="38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0"/>
              <w:jc w:val="both"/>
              <w:rPr/>
            </w:pPr>
            <w:r>
              <w:rPr/>
              <w:t>leveraging and expanding Ollie’s Army.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 proven portable, flexible, and highly profitable store model that has produced consistent financial results and returns.  Our new store model targets a store size between 25,000 to 35,000 square feet and an average initial cash investment of approximately $1.0 million, which includes store fixtures and equipment, store-level and distribution center inventory (net of payables) and pre-opening expenses. We target new store sales of approximately $4.0 million in their first full year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we are focused on driving comparable store sales and managing our expenses, our revenue and profitability growth will primarily come from opening new stores.  The core elements of our business model are procuring great deals, offering extreme values to our customers and creating consistent, predictable store growth, and margins.  In addition, our new stores generally open strong, contributing to the growth in net sales and profitability of our business. From 2019 to 2023, net sales grew at a CAGR of 10.5%.  We plan to achieve continued net sales growth, including comparable stores sales, by adding stores to our store base and by continuing to provide quality merchandise at a value for our customers as we scale and gain more access to purchase directly from major manufacturers.  We also plan to leverage and expand our Ollie’s Army database marketing strategies.  In addition, we plan to continue to manage our selling, general, and administrative expenses (“SG&amp;A”) by continuing to make process improvements and by maintaining our standard policy of reviewing our operating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ability to grow and our results of operations may be impacted by additional factors and uncertainties, such as consumer spending habits, which are subject to macroeconomic conditions and changes in discretionary income.  Our customers’ discretionary income is primarily impacted by gas prices, wages, rising interest rates, inflation, and consumer trends and preferences, which fluctuate depending on the environment. The potential consolidation of our competitors or other changes in our competitive landscape could also impact our results of operations or our ability to grow, even though we compete with a broad range of retailers.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key competitive advantage is our direct buying relationships with many major manufacturers, wholesalers, distributors, brokers, and retailers for our brand name closeout products and unbranded goods.  We also augment our product mix with private label brands.  As we continue to grow, we believe our increased scale will provide us with even greater access to brand name closeout products as major manufacturers seek a single buyer to acquire an entire deal.</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How We Assess the Performance of Our Business and Key Line Items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consider a variety of financial and operating measures in assessing the performance of our business.  The key measures we use are number of new stores, net sales, comparable store sales, gross profit and gross margin, SG&amp;A, pre-opening expenses, operating income, EBITDA, and Adjusted 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Number of New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number of new stores reflects the number of stores opened during a particular reporting period.  Before we open new stores, we incur pre-opening expenses described below under “Pre-Opening Expenses” and we make an initial investment in inventory.  We also make initial capital investments in fixtures and equipment, which we amortize over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opened 45 new stores in 2023.  We expect new store growth to be the primary driver of our sales growth. Our initial lease terms are approximately seven years with options to renew for three to five successive five-year periods. Our portable and predictable real estate model focuses on backfilling existing markets and entering new markets in contiguous states. Our new stores often open with higher sales levels as a result of greater advertising and promotional spend in connection with grand opening events, but decline shortly thereafter to our new store model levels.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Net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recognize retail sales in our stores when merchandise is sold and the customer takes possession of the merchandise.  Also included in net sales is revenue allocated to certain redeemed discounts earned via the Ollie’s Army loyalty program and gift card breakage.  Net sales are presented net of returns and sales tax. Net sales consist of sales from comparable stores and non-comparable stores, described below under “Comparable Store Sales.”  Growth of our net sales is primarily driven by the expansion of our store base in existing and new markets.  As we continue to grow, we believe we will have greater access to brand name closeout merchandise and an increased deal selection, resulting in more potential offerings for our customers.  Net sales are impacted by product mix, merchandise mix and availability, as well as promotional activities and the spending habits of our customers. Our broad selection of offerings across diverse product categories supports growth in net sales by attracting new customers, which results in higher spending levels and frequency of shopping visits from our customers, including Ollie’s Army members.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spending habits of our customers are subject to macroeconomic conditions and changes in discretionary income.  Our customers’ discretionary income is primarily impacted by gas prices, wages, inflation, and consumer trends and preferences, which fluctuate depending on the environment.  However, because we offer a broad selection of merchandise at extreme values, we believe we are generally less impacted than other retailers by economic cycles that correspond with declines in general consumer spending habits.  We believe we also benefit from periods of increased consumer spending.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Comparable Store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Comparable store sales measure performance of a store during the current reporting period against the performance of the same store in the corresponding period of the previous year.  Comparable store sales consist of net sales from our stores beginning on the first day of the sixteenth full fiscal month following the store’s opening, which is when we believe comparability is achieved.  Comparable store sales are impacted by the same factors that impact net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define comparable stores to be stores that:</w:t>
      </w:r>
    </w:p>
    <w:p>
      <w:pPr>
        <w:pStyle w:val="TextBody"/>
        <w:bidi w:val="0"/>
        <w:spacing w:before="0" w:after="0"/>
        <w:jc w:val="left"/>
        <w:rPr>
          <w:color w:val="000000"/>
          <w:shd w:fill="FFFFFF" w:val="clear"/>
        </w:rPr>
      </w:pPr>
      <w:r>
        <w:rPr>
          <w:color w:val="000000"/>
          <w:shd w:fill="FFFFFF" w:val="clear"/>
        </w:rPr>
        <w:t> </w:t>
      </w:r>
    </w:p>
    <w:tbl>
      <w:tblPr>
        <w:tblW w:w="4368" w:type="dxa"/>
        <w:jc w:val="left"/>
        <w:tblInd w:w="0" w:type="dxa"/>
        <w:tblLayout w:type="fixed"/>
        <w:tblCellMar>
          <w:top w:w="0" w:type="dxa"/>
          <w:left w:w="0" w:type="dxa"/>
          <w:bottom w:w="0" w:type="dxa"/>
          <w:right w:w="0" w:type="dxa"/>
        </w:tblCellMar>
      </w:tblPr>
      <w:tblGrid>
        <w:gridCol w:w="38"/>
        <w:gridCol w:w="110"/>
        <w:gridCol w:w="42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0"/>
              <w:jc w:val="both"/>
              <w:rPr/>
            </w:pPr>
            <w:r>
              <w:rPr/>
              <w:t>have been remodeled while remaining open;</w:t>
            </w:r>
          </w:p>
        </w:tc>
      </w:tr>
    </w:tbl>
    <w:p>
      <w:pPr>
        <w:pStyle w:val="TextBody"/>
        <w:bidi w:val="0"/>
        <w:spacing w:before="0" w:after="0"/>
        <w:jc w:val="left"/>
        <w:rPr>
          <w:color w:val="000000"/>
          <w:shd w:fill="FFFFFF" w:val="clear"/>
        </w:rPr>
      </w:pPr>
      <w:r>
        <w:rPr>
          <w:color w:val="000000"/>
          <w:shd w:fill="FFFFFF" w:val="clear"/>
        </w:rPr>
        <w:t> </w:t>
      </w:r>
    </w:p>
    <w:tbl>
      <w:tblPr>
        <w:tblW w:w="5148" w:type="dxa"/>
        <w:jc w:val="left"/>
        <w:tblInd w:w="0" w:type="dxa"/>
        <w:tblLayout w:type="fixed"/>
        <w:tblCellMar>
          <w:top w:w="0" w:type="dxa"/>
          <w:left w:w="0" w:type="dxa"/>
          <w:bottom w:w="0" w:type="dxa"/>
          <w:right w:w="0" w:type="dxa"/>
        </w:tblCellMar>
      </w:tblPr>
      <w:tblGrid>
        <w:gridCol w:w="38"/>
        <w:gridCol w:w="110"/>
        <w:gridCol w:w="50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0"/>
              <w:jc w:val="both"/>
              <w:rPr/>
            </w:pPr>
            <w:r>
              <w:rPr/>
              <w:t>are closed for five or fewer days in any fiscal month;</w:t>
            </w:r>
          </w:p>
        </w:tc>
      </w:tr>
    </w:tbl>
    <w:p>
      <w:pPr>
        <w:pStyle w:val="TextBody"/>
        <w:bidi w:val="0"/>
        <w:spacing w:before="0" w:after="0"/>
        <w:jc w:val="left"/>
        <w:rPr>
          <w:color w:val="000000"/>
          <w:shd w:fill="FFFFFF" w:val="clear"/>
        </w:rPr>
      </w:pPr>
      <w:r>
        <w:rPr>
          <w:color w:val="000000"/>
          <w:shd w:fill="FFFFFF" w:val="clear"/>
        </w:rPr>
        <w:t> </w:t>
      </w:r>
    </w:p>
    <w:tbl>
      <w:tblPr>
        <w:tblW w:w="7263" w:type="dxa"/>
        <w:jc w:val="left"/>
        <w:tblInd w:w="0" w:type="dxa"/>
        <w:tblLayout w:type="fixed"/>
        <w:tblCellMar>
          <w:top w:w="0" w:type="dxa"/>
          <w:left w:w="0" w:type="dxa"/>
          <w:bottom w:w="0" w:type="dxa"/>
          <w:right w:w="0" w:type="dxa"/>
        </w:tblCellMar>
      </w:tblPr>
      <w:tblGrid>
        <w:gridCol w:w="38"/>
        <w:gridCol w:w="110"/>
        <w:gridCol w:w="71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0"/>
              <w:jc w:val="both"/>
              <w:rPr/>
            </w:pPr>
            <w:r>
              <w:rPr/>
              <w:t>are closed temporarily and relocated within their respective trade areas; and</w:t>
            </w:r>
          </w:p>
        </w:tc>
      </w:tr>
    </w:tbl>
    <w:p>
      <w:pPr>
        <w:pStyle w:val="TextBody"/>
        <w:bidi w:val="0"/>
        <w:spacing w:before="0" w:after="0"/>
        <w:jc w:val="left"/>
        <w:rPr>
          <w:color w:val="000000"/>
          <w:shd w:fill="FFFFFF" w:val="clear"/>
        </w:rPr>
      </w:pPr>
      <w:r>
        <w:rPr>
          <w:color w:val="000000"/>
          <w:shd w:fill="FFFFFF" w:val="clear"/>
        </w:rPr>
        <w:t> </w:t>
      </w:r>
    </w:p>
    <w:tbl>
      <w:tblPr>
        <w:tblW w:w="8343" w:type="dxa"/>
        <w:jc w:val="left"/>
        <w:tblInd w:w="0" w:type="dxa"/>
        <w:tblLayout w:type="fixed"/>
        <w:tblCellMar>
          <w:top w:w="0" w:type="dxa"/>
          <w:left w:w="0" w:type="dxa"/>
          <w:bottom w:w="0" w:type="dxa"/>
          <w:right w:w="0" w:type="dxa"/>
        </w:tblCellMar>
      </w:tblPr>
      <w:tblGrid>
        <w:gridCol w:w="38"/>
        <w:gridCol w:w="110"/>
        <w:gridCol w:w="81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0"/>
              <w:jc w:val="both"/>
              <w:rPr/>
            </w:pPr>
            <w:r>
              <w:rPr/>
              <w:t>have expanded, but are not significantly different in size, within their current locations.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Non-comparable store sales consist of new store sales and sales for stores not open for a full 15 months.  Stores which are closed temporarily, but for more than five days in any fiscal month, are included in non-comparable store sales beginning in the fiscal month in which the temporary closure begins until the first full month of operation once the store re-opens, at which time they are included in comparable store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Opening new stores is the primary component of our growth strategy and as we continue to execute on our growth strategy, we expect a significant portion of our sales growth will be attributable to non-comparable store sales.  Accordingly, comparable store sales are only one measure we use to assess the success of our growth strategy.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Gross Profit and Gross Margin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is equal to our net sales less our cost of sales.  Cost of sales includes merchandise costs, inventory markdowns, shrinkage and transportation, distribution, and warehousing costs, including depreciation and amortization. Gross margin is gross profit as a percentage of our net sales. Gross margin is a measure used by management to indicate whether we are selling merchandise at an appropriate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our gross margin is impacted by product mix, as some products generally provide higher gross margins, by our merchandise mix and availability, and by our merchandise cost, which can vary.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gross profit is variable in nature and generally follows changes in net sales.  We regularly analyze the components of gross profit, as well as gross margin.  Specifically, our product margin and merchandise mix is reviewed by our merchant team and senior management, ensuring strict adherence to internal margin goals.  Our disciplined buying approach has produced consistent gross margins and we believe helps to mitigate adverse impacts on gross profit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SG&amp;A are comprised of payroll and benefits for store, field support, and support center associates.  SG&amp;A also include marketing and advertising expense, occupancy costs for stores and the store support center, insurance, corporate infrastructure, and other general expenses. The components of our SG&amp;A remain relatively consistent per store and for each new store opening. SG&amp;A generally increase as we grow our store base and as our net sales increase. A significant portion of our expenses is primarily fixed in nature, and we expect to continue to maintain strict discipline while carefully monitoring SG&amp;A as a percentage of net sales.  We expect that our SG&amp;A will continue to increase in future periods with future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our SG&amp;A may not be comparable to the components of SG&amp;A or similar measures of our competitors and other retailers.  As a result, our SG&amp;A may not be comparable to similar data made available by our competitors and other retailers.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Depreciation and Amortization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Property and equipment are stated at original cost less accumulated depreciation and amortization. Depreciation and amortization expenses are calculated over the estimated useful lives of the related assets, or in the case of leasehold improvements, the lesser of the useful lives or the remaining term of the lease. Expenditures for additions, renewals, and betterments are capitalized; expenditures for maintenance and repairs are charged to expense as incurred. Depreciation and amortization are computed on the straight-line method for financial reporting purposes. Depreciation and amortization as it relates to our distribution centers is included within cost of sales on the consolidated statements of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Pre-Opening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Pre-opening expenses consist of expenses of opening new stores and distribution centers, as well as store remodel and store closing costs.  For opening new stores, pre-opening expenses include grand opening advertising costs, payroll expenses, travel expenses, employee training costs, rent expenses, and store setup costs.  Pre-opening expenses for new stores are expensed as they are incurred, which is typically within 30 to 45 days of opening a new store. For opening distribution centers, pre-opening expenses primarily include inventory transportation costs, employee travel expenses, and occupancy costs. Store remodel costs primarily consist of payroll expenses, travel expenses, and store setup costs expensed as they are incurred. Store closing costs primarily consist of insurance deductibles, rent, and store payroll.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Operating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Operating income is gross profit less SG&amp;A, depreciation and amortization, and pre-opening expenses.  Operating income excludes net interest income or expense, and income tax expense.  We use operating income as an indicator of the productivity of our business and our ability to manage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EBITDA and Adjusted 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EBITDA and Adjusted EBITDA are key metrics used by management and our Board to assess our financial performance.  EBITDA and Adjusted EBITDA are also frequently used by analysts, investors, and other interested parties to evaluate companies in our industry.  We use Adjusted EBITDA to supplement U.S. Generally Accepted Accounting Principles (“GAAP”) measures of performance to evaluate the effectiveness of our business strategies, to make budgeting decisions, to evaluate our performance in connection with compensation decisions and to compare our performance against that of other peer companies using similar measures.  Management believes it is useful to investors and analysts to evaluate these non-GAAP measures on the same basis as management uses to evaluate the Company’s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define EBITDA as net income before net interest income or expense, depreciation and amortization expenses, and income taxes. Adjusted EBITDA represents EBITDA as further adjusted for non-cash stock-based compensation expense and gains on insurance settlements.  EBITDA and Adjusted EBITDA are non-GAAP measures and may not be comparable to similar measures reported by other companies.  EBITDA and Adjusted EBITDA have limitations as analytical tools, and you should not consider them in isolation or as a substitute for analysis of our results as reported under GAAP. In the future we may incur expenses or charges such as those added back to calculate Adjusted EBITDA. Our presentation of Adjusted EBITDA should not be construed as an inference that our future results will be unaffected by these items.  For further discussion of EBITDA and Adjusted EBITDA and for reconciliations of net income, the most directly comparable GAAP measure, to EBITDA and Adjusted EBITDA, see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section includes comparisons of certain 2023 financial information to the same information for 2022.  Year-to-year comparisons of the 2022 financial information to the same information for fiscal 2021, the 52-week period ended January 28, 2022 (“2021”), are contained in Item 7 of our Form 10-K for 2022 filed with the SEC on March 24, 2023 and available through the SEC’s website at  https://www.sec.gov/edgar/searchedgar/companysearch.html.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key components of our results of operations for 2023 and 2022, both in dollars and as a percentage of our net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derived the consolidated statements of income for 2023 and 2022 from our consolidated financial statements and related notes. Our historical results are not necessarily indicative of the results that may be expected in the future.</w:t>
      </w:r>
    </w:p>
    <w:p>
      <w:pPr>
        <w:pStyle w:val="TextBody"/>
        <w:bidi w:val="0"/>
        <w:spacing w:before="0" w:after="0"/>
        <w:jc w:val="left"/>
        <w:rPr>
          <w:color w:val="000000"/>
          <w:shd w:fill="FFFFFF" w:val="clear"/>
        </w:rPr>
      </w:pPr>
      <w:r>
        <w:rPr>
          <w:color w:val="000000"/>
          <w:shd w:fill="FFFFFF" w:val="clear"/>
        </w:rPr>
        <w:t> </w:t>
      </w:r>
    </w:p>
    <w:tbl>
      <w:tblPr>
        <w:tblW w:w="7085" w:type="dxa"/>
        <w:jc w:val="left"/>
        <w:tblInd w:w="0" w:type="dxa"/>
        <w:tblLayout w:type="fixed"/>
        <w:tblCellMar>
          <w:top w:w="0" w:type="dxa"/>
          <w:left w:w="0" w:type="dxa"/>
          <w:bottom w:w="0" w:type="dxa"/>
          <w:right w:w="0" w:type="dxa"/>
        </w:tblCellMar>
      </w:tblPr>
      <w:tblGrid>
        <w:gridCol w:w="4205"/>
        <w:gridCol w:w="60"/>
        <w:gridCol w:w="140"/>
        <w:gridCol w:w="980"/>
        <w:gridCol w:w="215"/>
        <w:gridCol w:w="60"/>
        <w:gridCol w:w="140"/>
        <w:gridCol w:w="980"/>
        <w:gridCol w:w="305"/>
      </w:tblGrid>
      <w:tr>
        <w:trPr/>
        <w:tc>
          <w:tcPr>
            <w:tcW w:w="42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305"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center"/>
              <w:rPr/>
            </w:pPr>
            <w:r>
              <w:rPr/>
              <w:t> </w:t>
            </w:r>
          </w:p>
        </w:tc>
        <w:tc>
          <w:tcPr>
            <w:tcW w:w="2515" w:type="dxa"/>
            <w:gridSpan w:val="6"/>
            <w:tcBorders/>
            <w:vAlign w:val="bottom"/>
          </w:tcPr>
          <w:p>
            <w:pPr>
              <w:pStyle w:val="TableContents"/>
              <w:bidi w:val="0"/>
              <w:spacing w:before="0" w:after="283"/>
              <w:jc w:val="center"/>
              <w:rPr/>
            </w:pPr>
            <w:r>
              <w:rPr/>
              <w:t>(dollars in thousands)</w:t>
            </w:r>
          </w:p>
        </w:tc>
        <w:tc>
          <w:tcPr>
            <w:tcW w:w="305"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jc w:val="left"/>
              <w:rPr>
                <w:color w:val="000000"/>
              </w:rPr>
            </w:pPr>
            <w:r>
              <w:rPr>
                <w:color w:val="000000"/>
              </w:rPr>
              <w:t>Net sales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2,102,662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1,827,009</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color w:val="000000"/>
              </w:rPr>
            </w:pPr>
            <w:r>
              <w:rPr>
                <w:color w:val="000000"/>
              </w:rPr>
              <w:t>Cost of sales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1,270,297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1,170,915</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832,365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656,094</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color w:val="000000"/>
              </w:rPr>
            </w:pPr>
            <w:r>
              <w:rPr>
                <w:color w:val="000000"/>
              </w:rPr>
              <w:t>Selling, general and administrative expenses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562,672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490,569</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jc w:val="left"/>
              <w:rPr>
                <w:color w:val="000000"/>
              </w:rPr>
            </w:pPr>
            <w:r>
              <w:rPr>
                <w:color w:val="000000"/>
              </w:rPr>
              <w:t>Depreciation and amortization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27,819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22,907</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color w:val="000000"/>
              </w:rPr>
            </w:pPr>
            <w:r>
              <w:rPr>
                <w:color w:val="000000"/>
              </w:rPr>
              <w:t>Pre-opening expenses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14,075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11,700</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Operating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227,799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130,918</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color w:val="000000"/>
              </w:rPr>
            </w:pPr>
            <w:r>
              <w:rPr>
                <w:color w:val="000000"/>
              </w:rPr>
              <w:t>Interest expense (income), net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(14,686</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(2,965</w:t>
            </w:r>
          </w:p>
        </w:tc>
        <w:tc>
          <w:tcPr>
            <w:tcW w:w="305" w:type="dxa"/>
            <w:tcBorders/>
            <w:vAlign w:val="bottom"/>
          </w:tcPr>
          <w:p>
            <w:pPr>
              <w:pStyle w:val="TableContents"/>
              <w:bidi w:val="0"/>
              <w:spacing w:before="0" w:after="0"/>
              <w:jc w:val="left"/>
              <w:rPr>
                <w:color w:val="000000"/>
              </w:rPr>
            </w:pPr>
            <w:r>
              <w:rPr>
                <w:color w:val="000000"/>
              </w:rPr>
              <w:t>)</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Income before income taxes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242,485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133,883</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color w:val="000000"/>
              </w:rPr>
            </w:pPr>
            <w:r>
              <w:rPr>
                <w:color w:val="000000"/>
              </w:rPr>
              <w:t>Income tax expense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61,046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31,093</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Net income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181,439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102,790</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lineRule="auto" w:line="240" w:before="0" w:after="0"/>
              <w:jc w:val="left"/>
              <w:rPr>
                <w:color w:val="000000"/>
              </w:rPr>
            </w:pPr>
            <w:r>
              <w:rPr>
                <w:b/>
                <w:color w:val="000000"/>
              </w:rPr>
              <w:t>Percentage of net sales(1)</w:t>
            </w: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jc w:val="left"/>
              <w:rPr>
                <w:color w:val="000000"/>
              </w:rPr>
            </w:pPr>
            <w:r>
              <w:rPr>
                <w:color w:val="000000"/>
              </w:rPr>
              <w:t>Net sales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100.0</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4205" w:type="dxa"/>
            <w:tcBorders/>
            <w:vAlign w:val="bottom"/>
          </w:tcPr>
          <w:p>
            <w:pPr>
              <w:pStyle w:val="TableContents"/>
              <w:bidi w:val="0"/>
              <w:spacing w:before="0" w:after="0"/>
              <w:jc w:val="left"/>
              <w:rPr>
                <w:color w:val="000000"/>
              </w:rPr>
            </w:pPr>
            <w:r>
              <w:rPr>
                <w:color w:val="000000"/>
              </w:rPr>
              <w:t>Cost of sales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64.1</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39.6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35.9</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color w:val="000000"/>
              </w:rPr>
            </w:pPr>
            <w:r>
              <w:rPr>
                <w:color w:val="000000"/>
              </w:rPr>
              <w:t>Selling, general and administrative expenses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26.8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26.9</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jc w:val="left"/>
              <w:rPr>
                <w:color w:val="000000"/>
              </w:rPr>
            </w:pPr>
            <w:r>
              <w:rPr>
                <w:color w:val="000000"/>
              </w:rPr>
              <w:t>Depreciation and amortization expenses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1.3</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color w:val="000000"/>
              </w:rPr>
            </w:pPr>
            <w:r>
              <w:rPr>
                <w:color w:val="000000"/>
              </w:rPr>
              <w:t>Pre-opening expenses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0.6</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Operating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10.8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7.2</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color w:val="000000"/>
              </w:rPr>
            </w:pPr>
            <w:r>
              <w:rPr>
                <w:color w:val="000000"/>
              </w:rPr>
              <w:t>Interest expense (income), net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(0.2</w:t>
            </w:r>
          </w:p>
        </w:tc>
        <w:tc>
          <w:tcPr>
            <w:tcW w:w="305" w:type="dxa"/>
            <w:tcBorders/>
            <w:vAlign w:val="bottom"/>
          </w:tcPr>
          <w:p>
            <w:pPr>
              <w:pStyle w:val="TableContents"/>
              <w:bidi w:val="0"/>
              <w:spacing w:before="0" w:after="0"/>
              <w:jc w:val="left"/>
              <w:rPr>
                <w:color w:val="000000"/>
              </w:rPr>
            </w:pPr>
            <w:r>
              <w:rPr>
                <w:color w:val="000000"/>
              </w:rPr>
              <w:t>)</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Income before income taxes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11.5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7.3</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jc w:val="left"/>
              <w:rPr>
                <w:color w:val="000000"/>
              </w:rPr>
            </w:pPr>
            <w:r>
              <w:rPr>
                <w:color w:val="000000"/>
              </w:rPr>
              <w:t>Income tax expense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Net income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8.6</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4205" w:type="dxa"/>
            <w:tcBorders/>
            <w:vAlign w:val="bottom"/>
          </w:tcPr>
          <w:p>
            <w:pPr>
              <w:pStyle w:val="TableContents"/>
              <w:bidi w:val="0"/>
              <w:spacing w:before="0" w:after="0"/>
              <w:jc w:val="left"/>
              <w:rPr>
                <w:b/>
                <w:color w:val="000000"/>
              </w:rPr>
            </w:pPr>
            <w:r>
              <w:rPr>
                <w:b/>
                <w:color w:val="000000"/>
              </w:rPr>
              <w:t>Select operating data:</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Number of new stores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40</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80" w:right="0" w:hanging="0"/>
              <w:jc w:val="left"/>
              <w:rPr>
                <w:color w:val="000000"/>
              </w:rPr>
            </w:pPr>
            <w:r>
              <w:rPr>
                <w:color w:val="000000"/>
              </w:rPr>
              <w:t>Number of store closings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w:t>
            </w:r>
          </w:p>
        </w:tc>
        <w:tc>
          <w:tcPr>
            <w:tcW w:w="305" w:type="dxa"/>
            <w:tcBorders/>
            <w:vAlign w:val="bottom"/>
          </w:tcPr>
          <w:p>
            <w:pPr>
              <w:pStyle w:val="TableContents"/>
              <w:bidi w:val="0"/>
              <w:spacing w:before="0" w:after="0"/>
              <w:jc w:val="left"/>
              <w:rPr>
                <w:color w:val="000000"/>
              </w:rPr>
            </w:pPr>
            <w:r>
              <w:rPr>
                <w:color w:val="000000"/>
              </w:rPr>
              <w:t>)</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Number of stores open at end of period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468</w:t>
            </w:r>
          </w:p>
        </w:tc>
        <w:tc>
          <w:tcPr>
            <w:tcW w:w="30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lineRule="auto" w:line="240" w:before="0" w:after="0"/>
              <w:ind w:left="180" w:right="0" w:hanging="0"/>
              <w:jc w:val="left"/>
              <w:rPr>
                <w:color w:val="000000"/>
              </w:rPr>
            </w:pPr>
            <w:r>
              <w:rPr>
                <w:color w:val="000000"/>
              </w:rPr>
              <w:t>Average net sales per store (2)</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4,286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4,043</w:t>
            </w:r>
          </w:p>
        </w:tc>
        <w:tc>
          <w:tcPr>
            <w:tcW w:w="30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80" w:right="0" w:hanging="0"/>
              <w:jc w:val="left"/>
              <w:rPr>
                <w:color w:val="000000"/>
              </w:rPr>
            </w:pPr>
            <w:r>
              <w:rPr>
                <w:color w:val="000000"/>
              </w:rPr>
              <w:t>Comparable stores sales change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w:t>
            </w:r>
          </w:p>
        </w:tc>
        <w:tc>
          <w:tcPr>
            <w:tcW w:w="30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HorizontalLine"/>
        <w:bidi w:val="0"/>
        <w:jc w:val="left"/>
        <w:rPr/>
      </w:pPr>
      <w:r>
        <w:rPr/>
      </w:r>
    </w:p>
    <w:tbl>
      <w:tblPr>
        <w:tblW w:w="5185" w:type="dxa"/>
        <w:jc w:val="left"/>
        <w:tblInd w:w="0" w:type="dxa"/>
        <w:tblLayout w:type="fixed"/>
        <w:tblCellMar>
          <w:top w:w="0" w:type="dxa"/>
          <w:left w:w="0" w:type="dxa"/>
          <w:bottom w:w="0" w:type="dxa"/>
          <w:right w:w="0" w:type="dxa"/>
        </w:tblCellMar>
      </w:tblPr>
      <w:tblGrid>
        <w:gridCol w:w="305"/>
        <w:gridCol w:w="4880"/>
      </w:tblGrid>
      <w:tr>
        <w:trPr/>
        <w:tc>
          <w:tcPr>
            <w:tcW w:w="305" w:type="dxa"/>
            <w:tcBorders/>
            <w:vAlign w:val="center"/>
          </w:tcPr>
          <w:p>
            <w:pPr>
              <w:pStyle w:val="TableContents"/>
              <w:bidi w:val="0"/>
              <w:spacing w:before="0" w:after="283"/>
              <w:jc w:val="left"/>
              <w:rPr/>
            </w:pPr>
            <w:r>
              <w:rPr/>
              <w:t>(1)</w:t>
            </w:r>
          </w:p>
        </w:tc>
        <w:tc>
          <w:tcPr>
            <w:tcW w:w="4880" w:type="dxa"/>
            <w:tcBorders/>
            <w:vAlign w:val="center"/>
          </w:tcPr>
          <w:p>
            <w:pPr>
              <w:pStyle w:val="TableContents"/>
              <w:bidi w:val="0"/>
              <w:spacing w:before="0" w:after="0"/>
              <w:jc w:val="both"/>
              <w:rPr/>
            </w:pPr>
            <w:r>
              <w:rPr/>
              <w:t>Components may not add to totals due to rounding.</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both"/>
              <w:rPr/>
            </w:pPr>
            <w:r>
              <w:rPr/>
              <w:t>Average net sales per store represents the weighted average of total net weekly sales divided by the number of stores open at the end of each week for the respective periods presented.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our net income to Adjusted EBITDA for the periods presented:</w:t>
      </w:r>
    </w:p>
    <w:p>
      <w:pPr>
        <w:pStyle w:val="TextBody"/>
        <w:bidi w:val="0"/>
        <w:spacing w:before="0" w:after="0"/>
        <w:jc w:val="left"/>
        <w:rPr>
          <w:color w:val="000000"/>
          <w:shd w:fill="FFFFFF" w:val="clear"/>
        </w:rPr>
      </w:pPr>
      <w:r>
        <w:rPr>
          <w:color w:val="000000"/>
          <w:shd w:fill="FFFFFF" w:val="clear"/>
        </w:rPr>
        <w:t> </w:t>
      </w:r>
    </w:p>
    <w:tbl>
      <w:tblPr>
        <w:tblW w:w="6521" w:type="dxa"/>
        <w:jc w:val="left"/>
        <w:tblInd w:w="0" w:type="dxa"/>
        <w:tblLayout w:type="fixed"/>
        <w:tblCellMar>
          <w:top w:w="0" w:type="dxa"/>
          <w:left w:w="0" w:type="dxa"/>
          <w:bottom w:w="0" w:type="dxa"/>
          <w:right w:w="0" w:type="dxa"/>
        </w:tblCellMar>
      </w:tblPr>
      <w:tblGrid>
        <w:gridCol w:w="4310"/>
        <w:gridCol w:w="60"/>
        <w:gridCol w:w="140"/>
        <w:gridCol w:w="803"/>
        <w:gridCol w:w="95"/>
        <w:gridCol w:w="60"/>
        <w:gridCol w:w="140"/>
        <w:gridCol w:w="803"/>
        <w:gridCol w:w="110"/>
      </w:tblGrid>
      <w:tr>
        <w:trPr/>
        <w:tc>
          <w:tcPr>
            <w:tcW w:w="4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110" w:type="dxa"/>
            <w:tcBorders/>
            <w:vAlign w:val="bottom"/>
          </w:tcPr>
          <w:p>
            <w:pPr>
              <w:pStyle w:val="TableContents"/>
              <w:bidi w:val="0"/>
              <w:spacing w:before="0" w:after="283"/>
              <w:jc w:val="left"/>
              <w:rPr/>
            </w:pPr>
            <w:r>
              <w:rPr/>
              <w:t> </w:t>
            </w:r>
          </w:p>
        </w:tc>
      </w:tr>
      <w:tr>
        <w:trPr/>
        <w:tc>
          <w:tcPr>
            <w:tcW w:w="4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1" w:type="dxa"/>
            <w:gridSpan w:val="6"/>
            <w:tcBorders/>
            <w:vAlign w:val="bottom"/>
          </w:tcPr>
          <w:p>
            <w:pPr>
              <w:pStyle w:val="TableContents"/>
              <w:bidi w:val="0"/>
              <w:spacing w:before="0" w:after="0"/>
              <w:jc w:val="center"/>
              <w:rPr>
                <w:color w:val="000000"/>
              </w:rPr>
            </w:pPr>
            <w:r>
              <w:rPr>
                <w:color w:val="000000"/>
              </w:rPr>
              <w:t>(dollars in thousands)</w:t>
            </w:r>
          </w:p>
        </w:tc>
        <w:tc>
          <w:tcPr>
            <w:tcW w:w="110" w:type="dxa"/>
            <w:tcBorders/>
            <w:vAlign w:val="bottom"/>
          </w:tcPr>
          <w:p>
            <w:pPr>
              <w:pStyle w:val="TableContents"/>
              <w:bidi w:val="0"/>
              <w:spacing w:before="0" w:after="283"/>
              <w:jc w:val="left"/>
              <w:rPr/>
            </w:pPr>
            <w:r>
              <w:rPr/>
              <w:t> </w:t>
            </w:r>
          </w:p>
        </w:tc>
      </w:tr>
      <w:tr>
        <w:trPr/>
        <w:tc>
          <w:tcPr>
            <w:tcW w:w="4310" w:type="dxa"/>
            <w:tcBorders/>
            <w:shd w:fill="CCEEFF" w:val="clear"/>
            <w:vAlign w:val="bottom"/>
          </w:tcPr>
          <w:p>
            <w:pPr>
              <w:pStyle w:val="TableContents"/>
              <w:bidi w:val="0"/>
              <w:spacing w:before="0" w:after="0"/>
              <w:jc w:val="left"/>
              <w:rPr>
                <w:color w:val="000000"/>
              </w:rPr>
            </w:pPr>
            <w:r>
              <w:rPr>
                <w:color w:val="000000"/>
              </w:rPr>
              <w:t>Net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3" w:type="dxa"/>
            <w:tcBorders/>
            <w:shd w:fill="CCEEFF" w:val="clear"/>
            <w:vAlign w:val="bottom"/>
          </w:tcPr>
          <w:p>
            <w:pPr>
              <w:pStyle w:val="TableContents"/>
              <w:bidi w:val="0"/>
              <w:spacing w:before="0" w:after="0"/>
              <w:jc w:val="right"/>
              <w:rPr>
                <w:color w:val="000000"/>
              </w:rPr>
            </w:pPr>
            <w:r>
              <w:rPr>
                <w:color w:val="000000"/>
              </w:rPr>
              <w:t>181,439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3" w:type="dxa"/>
            <w:tcBorders/>
            <w:shd w:fill="CCEEFF" w:val="clear"/>
            <w:vAlign w:val="bottom"/>
          </w:tcPr>
          <w:p>
            <w:pPr>
              <w:pStyle w:val="TableContents"/>
              <w:bidi w:val="0"/>
              <w:spacing w:before="0" w:after="0"/>
              <w:jc w:val="right"/>
              <w:rPr>
                <w:color w:val="000000"/>
              </w:rPr>
            </w:pPr>
            <w:r>
              <w:rPr>
                <w:color w:val="000000"/>
              </w:rPr>
              <w:t>102,790</w:t>
            </w:r>
          </w:p>
        </w:tc>
        <w:tc>
          <w:tcPr>
            <w:tcW w:w="110" w:type="dxa"/>
            <w:tcBorders/>
            <w:shd w:fill="CCEEFF" w:val="clear"/>
            <w:vAlign w:val="bottom"/>
          </w:tcPr>
          <w:p>
            <w:pPr>
              <w:pStyle w:val="TableContents"/>
              <w:bidi w:val="0"/>
              <w:spacing w:before="0" w:after="283"/>
              <w:jc w:val="left"/>
              <w:rPr/>
            </w:pPr>
            <w:r>
              <w:rPr/>
              <w:t> </w:t>
            </w:r>
          </w:p>
        </w:tc>
      </w:tr>
      <w:tr>
        <w:trPr/>
        <w:tc>
          <w:tcPr>
            <w:tcW w:w="4310" w:type="dxa"/>
            <w:tcBorders/>
            <w:vAlign w:val="bottom"/>
          </w:tcPr>
          <w:p>
            <w:pPr>
              <w:pStyle w:val="TableContents"/>
              <w:bidi w:val="0"/>
              <w:spacing w:before="0" w:after="0"/>
              <w:ind w:left="180" w:right="0" w:hanging="0"/>
              <w:jc w:val="left"/>
              <w:rPr>
                <w:color w:val="000000"/>
              </w:rPr>
            </w:pPr>
            <w:r>
              <w:rPr>
                <w:color w:val="000000"/>
              </w:rPr>
              <w:t>Interest expense (income),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0"/>
              <w:jc w:val="right"/>
              <w:rPr>
                <w:color w:val="000000"/>
              </w:rPr>
            </w:pPr>
            <w:r>
              <w:rPr>
                <w:color w:val="000000"/>
              </w:rPr>
              <w:t>(14,686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0"/>
              <w:jc w:val="right"/>
              <w:rPr>
                <w:color w:val="000000"/>
              </w:rPr>
            </w:pPr>
            <w:r>
              <w:rPr>
                <w:color w:val="000000"/>
              </w:rPr>
              <w:t>(2,965</w:t>
            </w:r>
          </w:p>
        </w:tc>
        <w:tc>
          <w:tcPr>
            <w:tcW w:w="110" w:type="dxa"/>
            <w:tcBorders/>
            <w:vAlign w:val="bottom"/>
          </w:tcPr>
          <w:p>
            <w:pPr>
              <w:pStyle w:val="TableContents"/>
              <w:bidi w:val="0"/>
              <w:spacing w:before="0" w:after="0"/>
              <w:jc w:val="left"/>
              <w:rPr>
                <w:color w:val="000000"/>
              </w:rPr>
            </w:pPr>
            <w:r>
              <w:rPr>
                <w:color w:val="000000"/>
              </w:rPr>
              <w:t>)</w:t>
            </w:r>
          </w:p>
        </w:tc>
      </w:tr>
      <w:tr>
        <w:trPr/>
        <w:tc>
          <w:tcPr>
            <w:tcW w:w="4310" w:type="dxa"/>
            <w:tcBorders/>
            <w:shd w:fill="CCEEFF" w:val="clear"/>
            <w:vAlign w:val="bottom"/>
          </w:tcPr>
          <w:p>
            <w:pPr>
              <w:pStyle w:val="TableContents"/>
              <w:bidi w:val="0"/>
              <w:spacing w:lineRule="auto" w:line="240" w:before="0" w:after="0"/>
              <w:ind w:left="180" w:right="0" w:hanging="0"/>
              <w:jc w:val="left"/>
              <w:rPr>
                <w:color w:val="000000"/>
              </w:rPr>
            </w:pPr>
            <w:r>
              <w:rPr>
                <w:color w:val="000000"/>
              </w:rPr>
              <w:t>Depreciation and amortization expenses (1)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0"/>
              <w:jc w:val="right"/>
              <w:rPr>
                <w:color w:val="000000"/>
              </w:rPr>
            </w:pPr>
            <w:r>
              <w:rPr>
                <w:color w:val="000000"/>
              </w:rPr>
              <w:t>35,120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0"/>
              <w:jc w:val="right"/>
              <w:rPr>
                <w:color w:val="000000"/>
              </w:rPr>
            </w:pPr>
            <w:r>
              <w:rPr>
                <w:color w:val="000000"/>
              </w:rPr>
              <w:t>28,903</w:t>
            </w:r>
          </w:p>
        </w:tc>
        <w:tc>
          <w:tcPr>
            <w:tcW w:w="110" w:type="dxa"/>
            <w:tcBorders/>
            <w:shd w:fill="CCEEFF" w:val="clear"/>
            <w:vAlign w:val="bottom"/>
          </w:tcPr>
          <w:p>
            <w:pPr>
              <w:pStyle w:val="TableContents"/>
              <w:bidi w:val="0"/>
              <w:spacing w:before="0" w:after="283"/>
              <w:jc w:val="left"/>
              <w:rPr/>
            </w:pPr>
            <w:r>
              <w:rPr/>
              <w:t> </w:t>
            </w:r>
          </w:p>
        </w:tc>
      </w:tr>
      <w:tr>
        <w:trPr/>
        <w:tc>
          <w:tcPr>
            <w:tcW w:w="4310" w:type="dxa"/>
            <w:tcBorders/>
            <w:vAlign w:val="bottom"/>
          </w:tcPr>
          <w:p>
            <w:pPr>
              <w:pStyle w:val="TableContents"/>
              <w:bidi w:val="0"/>
              <w:spacing w:before="0" w:after="0"/>
              <w:ind w:left="180" w:right="0" w:hanging="0"/>
              <w:jc w:val="left"/>
              <w:rPr>
                <w:color w:val="000000"/>
              </w:rPr>
            </w:pPr>
            <w:r>
              <w:rPr>
                <w:color w:val="000000"/>
              </w:rPr>
              <w:t>Income tax expense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61,046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31,093</w:t>
            </w:r>
          </w:p>
        </w:tc>
        <w:tc>
          <w:tcPr>
            <w:tcW w:w="110" w:type="dxa"/>
            <w:tcBorders/>
            <w:vAlign w:val="bottom"/>
          </w:tcPr>
          <w:p>
            <w:pPr>
              <w:pStyle w:val="TableContents"/>
              <w:bidi w:val="0"/>
              <w:spacing w:before="0" w:after="283"/>
              <w:jc w:val="left"/>
              <w:rPr/>
            </w:pPr>
            <w:r>
              <w:rPr/>
              <w:t> </w:t>
            </w:r>
          </w:p>
        </w:tc>
      </w:tr>
      <w:tr>
        <w:trPr/>
        <w:tc>
          <w:tcPr>
            <w:tcW w:w="4310" w:type="dxa"/>
            <w:tcBorders/>
            <w:shd w:fill="CCEEFF" w:val="clear"/>
            <w:vAlign w:val="bottom"/>
          </w:tcPr>
          <w:p>
            <w:pPr>
              <w:pStyle w:val="TableContents"/>
              <w:bidi w:val="0"/>
              <w:spacing w:before="0" w:after="0"/>
              <w:jc w:val="left"/>
              <w:rPr>
                <w:color w:val="000000"/>
              </w:rPr>
            </w:pPr>
            <w:r>
              <w:rPr>
                <w:color w:val="000000"/>
              </w:rPr>
              <w:t>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0"/>
              <w:jc w:val="right"/>
              <w:rPr>
                <w:color w:val="000000"/>
              </w:rPr>
            </w:pPr>
            <w:r>
              <w:rPr>
                <w:color w:val="000000"/>
              </w:rPr>
              <w:t>262,919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0"/>
              <w:jc w:val="right"/>
              <w:rPr>
                <w:color w:val="000000"/>
              </w:rPr>
            </w:pPr>
            <w:r>
              <w:rPr>
                <w:color w:val="000000"/>
              </w:rPr>
              <w:t>159,821</w:t>
            </w:r>
          </w:p>
        </w:tc>
        <w:tc>
          <w:tcPr>
            <w:tcW w:w="110" w:type="dxa"/>
            <w:tcBorders/>
            <w:shd w:fill="CCEEFF" w:val="clear"/>
            <w:vAlign w:val="bottom"/>
          </w:tcPr>
          <w:p>
            <w:pPr>
              <w:pStyle w:val="TableContents"/>
              <w:bidi w:val="0"/>
              <w:spacing w:before="0" w:after="283"/>
              <w:jc w:val="left"/>
              <w:rPr/>
            </w:pPr>
            <w:r>
              <w:rPr/>
              <w:t> </w:t>
            </w:r>
          </w:p>
        </w:tc>
      </w:tr>
      <w:tr>
        <w:trPr/>
        <w:tc>
          <w:tcPr>
            <w:tcW w:w="4310" w:type="dxa"/>
            <w:tcBorders/>
            <w:vAlign w:val="bottom"/>
          </w:tcPr>
          <w:p>
            <w:pPr>
              <w:pStyle w:val="TableContents"/>
              <w:bidi w:val="0"/>
              <w:spacing w:before="0" w:after="0"/>
              <w:ind w:left="180" w:right="0" w:hanging="0"/>
              <w:jc w:val="left"/>
              <w:rPr>
                <w:color w:val="000000"/>
              </w:rPr>
            </w:pPr>
            <w:r>
              <w:rPr>
                <w:color w:val="000000"/>
              </w:rPr>
              <w:t>Gains from insurance settlements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0"/>
              <w:jc w:val="right"/>
              <w:rPr>
                <w:color w:val="000000"/>
              </w:rPr>
            </w:pPr>
            <w:r>
              <w:rPr>
                <w:color w:val="000000"/>
              </w:rPr>
              <w:t>(897</w:t>
            </w:r>
          </w:p>
        </w:tc>
        <w:tc>
          <w:tcPr>
            <w:tcW w:w="110" w:type="dxa"/>
            <w:tcBorders/>
            <w:vAlign w:val="bottom"/>
          </w:tcPr>
          <w:p>
            <w:pPr>
              <w:pStyle w:val="TableContents"/>
              <w:bidi w:val="0"/>
              <w:spacing w:before="0" w:after="0"/>
              <w:jc w:val="left"/>
              <w:rPr>
                <w:color w:val="000000"/>
              </w:rPr>
            </w:pPr>
            <w:r>
              <w:rPr>
                <w:color w:val="000000"/>
              </w:rPr>
              <w:t>)</w:t>
            </w:r>
          </w:p>
        </w:tc>
      </w:tr>
      <w:tr>
        <w:trPr/>
        <w:tc>
          <w:tcPr>
            <w:tcW w:w="4310" w:type="dxa"/>
            <w:tcBorders/>
            <w:shd w:fill="CCEEFF" w:val="clear"/>
            <w:vAlign w:val="bottom"/>
          </w:tcPr>
          <w:p>
            <w:pPr>
              <w:pStyle w:val="TableContents"/>
              <w:bidi w:val="0"/>
              <w:spacing w:before="0" w:after="0"/>
              <w:ind w:left="180" w:right="0" w:hanging="0"/>
              <w:jc w:val="left"/>
              <w:rPr>
                <w:color w:val="000000"/>
              </w:rPr>
            </w:pPr>
            <w:r>
              <w:rPr>
                <w:color w:val="000000"/>
              </w:rPr>
              <w:t>Non-cash stock-based compensation expense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9,951</w:t>
            </w:r>
          </w:p>
        </w:tc>
        <w:tc>
          <w:tcPr>
            <w:tcW w:w="110" w:type="dxa"/>
            <w:tcBorders/>
            <w:shd w:fill="CCEEFF" w:val="clear"/>
            <w:vAlign w:val="bottom"/>
          </w:tcPr>
          <w:p>
            <w:pPr>
              <w:pStyle w:val="TableContents"/>
              <w:bidi w:val="0"/>
              <w:spacing w:before="0" w:after="283"/>
              <w:jc w:val="left"/>
              <w:rPr/>
            </w:pPr>
            <w:r>
              <w:rPr/>
              <w:t> </w:t>
            </w:r>
          </w:p>
        </w:tc>
      </w:tr>
      <w:tr>
        <w:trPr/>
        <w:tc>
          <w:tcPr>
            <w:tcW w:w="4310" w:type="dxa"/>
            <w:tcBorders/>
            <w:vAlign w:val="bottom"/>
          </w:tcPr>
          <w:p>
            <w:pPr>
              <w:pStyle w:val="TableContents"/>
              <w:bidi w:val="0"/>
              <w:spacing w:before="0" w:after="0"/>
              <w:jc w:val="left"/>
              <w:rPr>
                <w:color w:val="000000"/>
              </w:rPr>
            </w:pPr>
            <w:r>
              <w:rPr>
                <w:color w:val="000000"/>
              </w:rPr>
              <w:t>Adjusted EBITDA</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275,156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168,875</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both"/>
        <w:rPr/>
      </w:pPr>
      <w:r>
        <w:rPr/>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both"/>
              <w:rPr/>
            </w:pPr>
            <w:r>
              <w:rPr/>
              <w:t>Includes depreciation and amortization relating to our distribution centers, which is included within cost of sales on our consolidated statements of income.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2023 Compared with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Net Sales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sales increased to $2.103 billion in 2023 from $1.827 billion in 2022, an increase of $275.7 million, or 15.1%.  The increase in net sales was the result of new store unit growth, a comparable store sales increase of 5.7%, and $34.0 million of sales in the 53rd week. Excluding the 53rd week, sales increased 13.2% year over year.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Comparable store sales increased 5.7% in 2023 compared with a 3.0% decrease in 2022.  The increase in comparable store sales consisted of an increase in the number of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Gross Profit and Gross Margin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increased to $832.4 million in 2023 from $656.1 million in 2022, an increase of $176.3 million, or 26.9%.  Gross margin increased 370 basis points to 39.6% in 2023 from 35.9% in 2022.  The increase in gross margin in fiscal 2023 is primarily due to favorable supply chain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SG&amp;A increased to $562.7 million in 2023 from $490.6 million in 2022, an increase of $72.1 million, or 14.7%.  The dollar increase in SG&amp;A was primarily driven by higher selling expenses associated with our new store unit growth, as well as higher incentive compensation. As a percentage of net sales, SG&amp;A decreased 10 basis points to 26.8% in 2023 from 26.9% in 2022. This decrease is primarily the result of leverage of fixed expenses, partially offset by higher incentive compensation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Included in SG&amp;A in 2022 is $0.9 million, respectively, of income related to gains from insurance settlements.  Excluding the gains in both years, SG&amp;A decreased 10 basis points as a percentage of net sales in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Depreciation and Amortization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Depreciation and amortization expenses increased to $27.8 million in 2023 from $22.9 million in 2022, an increase of $4.9 million, or 21.4%, the result of the increased asset base due to new store growth and investments in existing stores.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Pre-Opening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Pre-opening expenses increased to $14.1 million in 2023 from $11.7 million in 2022, an increase of $2.4 million, or 20.3%. The increase is primarily due to additional store openings and remodels.  We opened 45 new stores and closed one store in 2023 compared with having opened 40 new stores and closed three stores in 2022. As a percentage of net sales, pre-opening expenses was 0.7% in 2023 from 0.6% in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Interest (Income) Expense,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income, net was $14.7 million in 2023 compared with $3.0 million in 2022. The increase in interest income, net in 2023 is primarily due to favorable interest rates and higher average cash and cash equivalent and short-term investments balances compared to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Income Tax Expense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Income tax expense increased to $61.0 million in 2023 from $31.1 million in 2022, an increase of $29.9 million, or 96.3%.  The effective tax rates for 2023 and 2022 were 25.2% and 23.2%, respectively.  The variance in the effective tax rates between the periods was primarily due to state tax rate changes, offset by an increase in discrete tax benefits related to stock-based compensation. Discrete tax benefits totaled $1.1 million and $0.3 million in 2023 and 2022, respectively. For further information, see Note 8 under “Notes to Consolidated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Net Income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foregoing, net income increased to $181.4 million in 2023 from $102.8 million in 2022, an increase of $78.6 million, or 76.5%.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Adjusted 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Adjusted EBITDA increased to $275.2 million in 2023 from $168.9 million in 2022, an increase of $106.3 million, or 62.9%.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primary sources of liquidity are net cash flows provided by operating activities and available borrowings under our $100.0 million Revolving Credit Facility. As of February 3, 2024, we had $353.2 million of cash and cash equivalents and short-term investments on hand and $90.0 million available to borrow under our Revolving Credit Facility. For further information regarding our Revolving Credit Facility, see Note 7 under “Notes to the Consolidated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primary cash needs are for capital expenditures and working capital.  Additionally, we have made and may continue to make discretionary share repurchases (see ‘Share Repurchase Program’ below for further discussion).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capital expenditures are primarily related to new store openings, store resets, which consist of improvements to stores as they are needed, expenditures related to our distribution centers, and infrastructure-related investments, including investments related to upgrading and maintaining our information technology systems.  We spent $124.4 million and $51.7 million for capital expenditures in 2023 and 2022, respectively.  We opened 45 new stores and closed one store in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Capital expenditures in 2024 are planned to be approximately $85 million, primarily for the construction of our fourth distribution center, which is anticipated to be operational in the second half of fiscal 2024, as well as the opening of 50 new stores, store-level initiatives at our existing stores, as well as general corporate capital expenditures, including information technology.   We have experienced, and may continue to experience, delays in construction and permitting of new stores and other projects.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primary working capital requirements are for the purchase of merchandise inventories, payroll, store rent associated with our operating leases, other store operating costs, distribution costs, and general and administrative costs.  Our working capital requirements fluctuate during the year, rising in our third fiscal quarter as we increase quantities of inventory in anticipation of our peak holiday sales season in our fourth fiscal quarter.  Fluctuations in working capital are also driven by the timing of new store openings.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Historically, we have funded our capital expenditures and working capital requirements during the fiscal year with cash flows from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financial instrument which potentially subjects the Company to a concentration of credit risk is cash. Ollie’s currently maintains its day-to-day operating cash balances with major financial institutions. The Company’s operating cash balances are in excess of the Federal Deposit Insurance Corporation (“FDIC”) insurance limit. From time to time, Ollie’s invests temporary excess cash in overnight investments with expected minimal volatility, such as money market funds. Although the Company maintains balances which exceed the FDIC insured limit, it has not experienced any losses related to these balances.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our cash and cash equivalents and short-term investments position, net cash provided by operating activities and availability under our Revolving Credit Facility will be adequate to finance our planned capital expenditures, working capital requirements, debt service, and other financing activities over the next 12 months.  If cash provided by operating activities and borrowings under our Revolving Credit Facility are not sufficient or available to meet our capital requirements, we will be required to obtain additional equity or debt financing in the future.  There can be no assurance equity or debt financing will be available to us when needed or, if available, the terms will be satisfactory to us and not dilutive to our then-current stockholders.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Share Repurchase Program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December 15, 2020, the Board of Directors of the Company authorized the repurchase of up to $100.0 million of shares of the Company’s common stock. On March 16, 2021, the Board of Directors of the Company authorized an increase of $100.0 million in the Company’s share repurchase program, resulting in $200.0 million approved for share repurchases through January 13, 2023.  On November 30, 2021, the Board authorized an additional $200.0 million to repurchase stock pursuant to the Company’s share repurchase program, expiring on December 15, 2023.  On November 30, 2023, the Company’s Board of Directors authorized an extension to the existing share repurchase program set to expire on December 15, 2023, until March 31, 2026.  The shares to be repurchased may be purchased from time to time in open market conditions (including blocks), privately negotiated transactions, accelerated share repurchase programs or other derivative transactions, issuer self-tender offers or any combination of the foregoing.  The timing of repurchases and the actual amount purchased will depend on a variety of factors, including the market price of our shares, general market, economic and business conditions, and other corporate considerations.  Repurchases may be made pursuant to plans intended to comply with Rule 10b5-1 under the Securities Exchange Act of 1934, which could allow us to purchase our shares during periods when we otherwise might be prevented from doing so under insider trading laws or because of self-imposed trading blackout periods.  Repurchases are expected to be funded from cash on hand or through the utilization of our Revolving Credit Facility.  The repurchase authorization does not require the purchase of a specific number of shares and is subject to suspension or termination by our Board of Directors at any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2023, we repurchased 808,669 shares of our common stock for $52.5 million, inclusive of transaction costs, pursuant to our share repurchase program, and during 2022, we repurchased 848,133 shares of our common stock for $41.8 million, inclusive of transaction costs.  These expenditures were funded by cash generated from operations.  As of February 3, 2024, we had approximately $85.7 million remaining under our share repurchase authorization.  There can be no assurances that any additional repurchases will be completed, or as to the timing or amount of any repurchases.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Summary of Cash Flows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our cash flows from operating, investing, and financing activities is presented in the following table:</w:t>
      </w:r>
    </w:p>
    <w:p>
      <w:pPr>
        <w:pStyle w:val="TextBody"/>
        <w:bidi w:val="0"/>
        <w:spacing w:before="0" w:after="0"/>
        <w:jc w:val="left"/>
        <w:rPr>
          <w:color w:val="000000"/>
          <w:shd w:fill="FFFFFF" w:val="clear"/>
        </w:rPr>
      </w:pPr>
      <w:r>
        <w:rPr>
          <w:color w:val="000000"/>
          <w:shd w:fill="FFFFFF" w:val="clear"/>
        </w:rPr>
        <w:t> </w:t>
      </w:r>
    </w:p>
    <w:tbl>
      <w:tblPr>
        <w:tblW w:w="7310" w:type="dxa"/>
        <w:jc w:val="left"/>
        <w:tblInd w:w="0" w:type="dxa"/>
        <w:tblLayout w:type="fixed"/>
        <w:tblCellMar>
          <w:top w:w="0" w:type="dxa"/>
          <w:left w:w="0" w:type="dxa"/>
          <w:bottom w:w="0" w:type="dxa"/>
          <w:right w:w="0" w:type="dxa"/>
        </w:tblCellMar>
      </w:tblPr>
      <w:tblGrid>
        <w:gridCol w:w="4955"/>
        <w:gridCol w:w="60"/>
        <w:gridCol w:w="140"/>
        <w:gridCol w:w="875"/>
        <w:gridCol w:w="95"/>
        <w:gridCol w:w="60"/>
        <w:gridCol w:w="140"/>
        <w:gridCol w:w="875"/>
        <w:gridCol w:w="110"/>
      </w:tblGrid>
      <w:tr>
        <w:trPr/>
        <w:tc>
          <w:tcPr>
            <w:tcW w:w="4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110" w:type="dxa"/>
            <w:tcBorders/>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5" w:type="dxa"/>
            <w:gridSpan w:val="6"/>
            <w:tcBorders/>
            <w:vAlign w:val="bottom"/>
          </w:tcPr>
          <w:p>
            <w:pPr>
              <w:pStyle w:val="TableContents"/>
              <w:bidi w:val="0"/>
              <w:spacing w:before="0" w:after="0"/>
              <w:jc w:val="center"/>
              <w:rPr>
                <w:color w:val="000000"/>
              </w:rPr>
            </w:pPr>
            <w:r>
              <w:rPr>
                <w:color w:val="000000"/>
              </w:rPr>
              <w:t>(in thousands)</w:t>
            </w:r>
          </w:p>
        </w:tc>
        <w:tc>
          <w:tcPr>
            <w:tcW w:w="110" w:type="dxa"/>
            <w:tcBorders/>
            <w:vAlign w:val="bottom"/>
          </w:tcPr>
          <w:p>
            <w:pPr>
              <w:pStyle w:val="TableContents"/>
              <w:bidi w:val="0"/>
              <w:spacing w:before="0" w:after="283"/>
              <w:jc w:val="left"/>
              <w:rPr/>
            </w:pPr>
            <w:r>
              <w:rPr/>
              <w:t> </w:t>
            </w:r>
          </w:p>
        </w:tc>
      </w:tr>
      <w:tr>
        <w:trPr/>
        <w:tc>
          <w:tcPr>
            <w:tcW w:w="4955" w:type="dxa"/>
            <w:tcBorders/>
            <w:shd w:fill="CCEEFF" w:val="clear"/>
            <w:vAlign w:val="bottom"/>
          </w:tcPr>
          <w:p>
            <w:pPr>
              <w:pStyle w:val="TableContents"/>
              <w:bidi w:val="0"/>
              <w:spacing w:before="0" w:after="0"/>
              <w:jc w:val="both"/>
              <w:rPr>
                <w:color w:val="000000"/>
              </w:rPr>
            </w:pPr>
            <w:r>
              <w:rPr>
                <w:color w:val="00000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254,497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75" w:type="dxa"/>
            <w:tcBorders/>
            <w:shd w:fill="CCEEFF" w:val="clear"/>
            <w:vAlign w:val="bottom"/>
          </w:tcPr>
          <w:p>
            <w:pPr>
              <w:pStyle w:val="TableContents"/>
              <w:bidi w:val="0"/>
              <w:spacing w:before="0" w:after="0"/>
              <w:jc w:val="right"/>
              <w:rPr>
                <w:color w:val="000000"/>
              </w:rPr>
            </w:pPr>
            <w:r>
              <w:rPr>
                <w:color w:val="000000"/>
              </w:rPr>
              <w:t>114,346</w:t>
            </w:r>
          </w:p>
        </w:tc>
        <w:tc>
          <w:tcPr>
            <w:tcW w:w="110" w:type="dxa"/>
            <w:tcBorders/>
            <w:shd w:fill="CCEEFF" w:val="clear"/>
            <w:vAlign w:val="bottom"/>
          </w:tcPr>
          <w:p>
            <w:pPr>
              <w:pStyle w:val="TableContents"/>
              <w:bidi w:val="0"/>
              <w:spacing w:before="0" w:after="283"/>
              <w:jc w:val="left"/>
              <w:rPr/>
            </w:pPr>
            <w:r>
              <w:rPr/>
              <w:t> </w:t>
            </w:r>
          </w:p>
        </w:tc>
      </w:tr>
      <w:tr>
        <w:trPr/>
        <w:tc>
          <w:tcPr>
            <w:tcW w:w="4955" w:type="dxa"/>
            <w:tcBorders/>
            <w:vAlign w:val="bottom"/>
          </w:tcPr>
          <w:p>
            <w:pPr>
              <w:pStyle w:val="TableContents"/>
              <w:bidi w:val="0"/>
              <w:spacing w:before="0" w:after="0"/>
              <w:jc w:val="both"/>
              <w:rPr>
                <w:color w:val="000000"/>
              </w:rPr>
            </w:pPr>
            <w:r>
              <w:rPr>
                <w:color w:val="000000"/>
              </w:rPr>
              <w:t>Net cash used in investing activities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(150,087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color w:val="000000"/>
              </w:rPr>
            </w:pPr>
            <w:r>
              <w:rPr>
                <w:color w:val="000000"/>
              </w:rPr>
              <w:t>(111,454</w:t>
            </w:r>
          </w:p>
        </w:tc>
        <w:tc>
          <w:tcPr>
            <w:tcW w:w="110" w:type="dxa"/>
            <w:tcBorders/>
            <w:vAlign w:val="bottom"/>
          </w:tcPr>
          <w:p>
            <w:pPr>
              <w:pStyle w:val="TableContents"/>
              <w:bidi w:val="0"/>
              <w:spacing w:before="0" w:after="0"/>
              <w:jc w:val="left"/>
              <w:rPr>
                <w:color w:val="000000"/>
              </w:rPr>
            </w:pPr>
            <w:r>
              <w:rPr>
                <w:color w:val="000000"/>
              </w:rPr>
              <w:t>)</w:t>
            </w:r>
          </w:p>
        </w:tc>
      </w:tr>
      <w:tr>
        <w:trPr/>
        <w:tc>
          <w:tcPr>
            <w:tcW w:w="4955" w:type="dxa"/>
            <w:tcBorders/>
            <w:shd w:fill="CCEEFF" w:val="clear"/>
            <w:vAlign w:val="bottom"/>
          </w:tcPr>
          <w:p>
            <w:pPr>
              <w:pStyle w:val="TableContents"/>
              <w:bidi w:val="0"/>
              <w:spacing w:before="0" w:after="0"/>
              <w:jc w:val="both"/>
              <w:rPr>
                <w:color w:val="000000"/>
              </w:rPr>
            </w:pPr>
            <w:r>
              <w:rPr>
                <w:color w:val="000000"/>
              </w:rPr>
              <w:t>Net cash used in financing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(48,744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(39,273</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955" w:type="dxa"/>
            <w:tcBorders/>
            <w:vAlign w:val="bottom"/>
          </w:tcPr>
          <w:p>
            <w:pPr>
              <w:pStyle w:val="TableContents"/>
              <w:bidi w:val="0"/>
              <w:spacing w:before="0" w:after="0"/>
              <w:jc w:val="both"/>
              <w:rPr>
                <w:color w:val="000000"/>
              </w:rPr>
            </w:pPr>
            <w:r>
              <w:rPr>
                <w:color w:val="000000"/>
              </w:rPr>
              <w:t>Net increase (decrease) in cash and cash equivalents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7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55,666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7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(36,381</w:t>
            </w:r>
          </w:p>
        </w:tc>
        <w:tc>
          <w:tcPr>
            <w:tcW w:w="11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Cash Provided by Operating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operating activities in 2023 totaled $254.5 million compared with $114.3 million in 2022.  The increase in net cash provided by operating activities in 2023 was primarily due to higher net income year over year.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Cash Used in Investing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investing activities totaled $150.1 million in 2023 compared with $111.5 million in 2022.  The increase in cash used in investing activities is primarily due to a larger investment in capital expenditures related to the completion of the Company’s distribution center expansion in York, PA and the construction of our new distribution center in Princeton, IL, and purchases of short-term investments of $273.5 million in the current year, partially offset by maturities of short-term investments of $247.4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Cash Used in Financing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financing activities totaled $48.7 million in 2023 compared with $39.3 million in 2022.  The change in cash outflow in 2023 is primarily due to $52.5 million of shares repurchased in fiscal 2023 as compared to share repurchases of $41.8 million in fiscal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Credit Facilities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credit facility (the “Credit Facility”) provides for a five-year $100.0 million revolving credit facility, which includes a $45.0 million sub-facility for letters of credit and a $25.0 million sub-facility for swingline loans (the “Revolving Credit Facility”).  In addition, the Company may at any time add term loan facilities or additional revolving commitments up to $150.0 million pursuant to terms and conditions set out in the Credit Facility. On January 9, 2024, the Company refinanced its credit facility (the “Credit Facility”), pursuant to which the maturity date for any loans under the revolving credit facility was extended for a period of five years and a zero percent (0.0%) interest rate floor was added to the option for the SOFR Loan Rate (as defined in the Amendment). Loans under the Revolving Credit Facility mature on January 9, 2029.</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interest rates for the Credit Facility are calculated as follows: for ABR Loans, the highest of the Prime Rate, the Federal Funds Effective Rate plus 0.50% and Term SOFR with a term of one-month in effect on such day plus the SOFR Spread Adjustment plus 1.0%, plus the Applicable Margin, or, for SOFR Loans, the SOFR Loan Rate plus the Applicable Margin plus the SOFR Spread Adjustment. The Applicable Margin will vary from 0.00% to 0.50% for an ABR Loan and 1.00% to 1.50% for a SOFR Loan, based on availability under the Credit Facility. The SOFR Loan Rate is subject to a 0% floor.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terms of the Revolving Credit Facility, as of February 3, 2024, we could borrow up to 90.0% of the most recent appraised value (valued at cost, discounted for the current net orderly liquidation value) of our eligible inventory, as defined, up to $100.0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February 3, 2024, we had no outstanding borrowings under the Revolving Credit Facility, with $90.0 million of borrowing availability, outstanding letters of credit commitments of $9.7 million and $0.2 million of rent reserves.  The Revolving Credit Facility also contains a variable unused line fee ranging from 0.125% to 0.250% per annum. We incurred unused line fees of approximately $0.1 million in each of 2023 and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Credit Facility is collateralized by the Company’s assets and equity and contains a financial covenant, as well as certain business covenants, including restrictions on dividend payments, which we must comply with during the term of the agreement.  The financial covenant is a consolidated fixed charge coverage ratio test of at least 1.0 to 1.0 applicable during a covenant period, based on reference to availability.  We were in compliance with all terms of the Credit Facility during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provisions of the Credit Facility restrict all of the net assets of the Company’s consolidated subsidiaries, which constitutes all of the net assets on our consolidated balance sheet as of February 3, 2024, from being used to pay any dividends or make other restricted payments to the Company without prior written consent from the financial institutions that are a party to the Credit Facility, subject to material exceptions including proforma compliance with the applicable conditions described in the Credit Facility.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Contractual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enter into long-term contractual obligations and commitments in the normal course of business, primarily operating leases. The following table summarizes our material cash requirements over the next several periods from known contractual obligations, including contractual lease obligations:</w:t>
      </w:r>
    </w:p>
    <w:p>
      <w:pPr>
        <w:pStyle w:val="TextBody"/>
        <w:bidi w:val="0"/>
        <w:spacing w:before="0" w:after="0"/>
        <w:jc w:val="left"/>
        <w:rPr>
          <w:color w:val="000000"/>
          <w:shd w:fill="FFFFFF" w:val="clear"/>
        </w:rPr>
      </w:pPr>
      <w:r>
        <w:rPr>
          <w:color w:val="000000"/>
          <w:shd w:fill="FFFFFF" w:val="clear"/>
        </w:rPr>
        <w:t> </w:t>
      </w:r>
    </w:p>
    <w:tbl>
      <w:tblPr>
        <w:tblW w:w="8207" w:type="dxa"/>
        <w:jc w:val="left"/>
        <w:tblInd w:w="0" w:type="dxa"/>
        <w:tblLayout w:type="fixed"/>
        <w:tblCellMar>
          <w:top w:w="0" w:type="dxa"/>
          <w:left w:w="0" w:type="dxa"/>
          <w:bottom w:w="0" w:type="dxa"/>
          <w:right w:w="0" w:type="dxa"/>
        </w:tblCellMar>
      </w:tblPr>
      <w:tblGrid>
        <w:gridCol w:w="2315"/>
        <w:gridCol w:w="60"/>
        <w:gridCol w:w="183"/>
        <w:gridCol w:w="1051"/>
        <w:gridCol w:w="60"/>
        <w:gridCol w:w="60"/>
        <w:gridCol w:w="148"/>
        <w:gridCol w:w="846"/>
        <w:gridCol w:w="60"/>
        <w:gridCol w:w="60"/>
        <w:gridCol w:w="148"/>
        <w:gridCol w:w="846"/>
        <w:gridCol w:w="60"/>
        <w:gridCol w:w="60"/>
        <w:gridCol w:w="166"/>
        <w:gridCol w:w="949"/>
        <w:gridCol w:w="60"/>
        <w:gridCol w:w="60"/>
        <w:gridCol w:w="140"/>
        <w:gridCol w:w="800"/>
        <w:gridCol w:w="75"/>
      </w:tblGrid>
      <w:tr>
        <w:trPr/>
        <w:tc>
          <w:tcPr>
            <w:tcW w:w="23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Less than 1 </w:t>
            </w:r>
          </w:p>
          <w:p>
            <w:pPr>
              <w:pStyle w:val="TableContents"/>
              <w:bidi w:val="0"/>
              <w:spacing w:before="0" w:after="0"/>
              <w:jc w:val="center"/>
              <w:rPr>
                <w:b/>
                <w:color w:val="000000"/>
              </w:rPr>
            </w:pPr>
            <w:r>
              <w:rPr>
                <w:b/>
                <w:color w:val="000000"/>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1-3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3-5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Thereafter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75" w:type="dxa"/>
            <w:tcBorders/>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7" w:type="dxa"/>
            <w:gridSpan w:val="18"/>
            <w:tcBorders/>
            <w:vAlign w:val="bottom"/>
          </w:tcPr>
          <w:p>
            <w:pPr>
              <w:pStyle w:val="TableContents"/>
              <w:bidi w:val="0"/>
              <w:spacing w:before="0" w:after="0"/>
              <w:jc w:val="center"/>
              <w:rPr>
                <w:color w:val="000000"/>
              </w:rPr>
            </w:pPr>
            <w:r>
              <w:rPr>
                <w:color w:val="000000"/>
              </w:rPr>
              <w:t>(in thousands)</w:t>
            </w:r>
          </w:p>
        </w:tc>
        <w:tc>
          <w:tcPr>
            <w:tcW w:w="75" w:type="dxa"/>
            <w:tcBorders/>
            <w:vAlign w:val="bottom"/>
          </w:tcPr>
          <w:p>
            <w:pPr>
              <w:pStyle w:val="TableContents"/>
              <w:bidi w:val="0"/>
              <w:spacing w:before="0" w:after="283"/>
              <w:jc w:val="left"/>
              <w:rPr/>
            </w:pPr>
            <w:r>
              <w:rPr/>
              <w:t> </w:t>
            </w:r>
          </w:p>
        </w:tc>
      </w:tr>
      <w:tr>
        <w:trPr/>
        <w:tc>
          <w:tcPr>
            <w:tcW w:w="2315" w:type="dxa"/>
            <w:tcBorders/>
            <w:shd w:fill="CCEEFF" w:val="clear"/>
            <w:vAlign w:val="bottom"/>
          </w:tcPr>
          <w:p>
            <w:pPr>
              <w:pStyle w:val="TableContents"/>
              <w:bidi w:val="0"/>
              <w:spacing w:lineRule="auto" w:line="240" w:before="0" w:after="0"/>
              <w:jc w:val="both"/>
              <w:rPr>
                <w:color w:val="000000"/>
              </w:rPr>
            </w:pPr>
            <w:r>
              <w:rPr>
                <w:color w:val="000000"/>
              </w:rPr>
              <w:t>Operating leases (1)</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0"/>
              <w:jc w:val="left"/>
              <w:rPr>
                <w:color w:val="000000"/>
              </w:rPr>
            </w:pPr>
            <w:r>
              <w:rPr>
                <w:color w:val="000000"/>
              </w:rPr>
              <w:t>$</w:t>
            </w:r>
          </w:p>
        </w:tc>
        <w:tc>
          <w:tcPr>
            <w:tcW w:w="1051" w:type="dxa"/>
            <w:tcBorders/>
            <w:shd w:fill="CCEEFF" w:val="clear"/>
            <w:vAlign w:val="bottom"/>
          </w:tcPr>
          <w:p>
            <w:pPr>
              <w:pStyle w:val="TableContents"/>
              <w:bidi w:val="0"/>
              <w:spacing w:before="0" w:after="0"/>
              <w:jc w:val="right"/>
              <w:rPr>
                <w:color w:val="000000"/>
              </w:rPr>
            </w:pPr>
            <w:r>
              <w:rPr>
                <w:color w:val="000000"/>
              </w:rPr>
              <w:t>106,625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0"/>
              <w:jc w:val="left"/>
              <w:rPr>
                <w:color w:val="000000"/>
              </w:rPr>
            </w:pPr>
            <w:r>
              <w:rPr>
                <w:color w:val="000000"/>
              </w:rPr>
              <w:t>$</w:t>
            </w:r>
          </w:p>
        </w:tc>
        <w:tc>
          <w:tcPr>
            <w:tcW w:w="846" w:type="dxa"/>
            <w:tcBorders/>
            <w:shd w:fill="CCEEFF" w:val="clear"/>
            <w:vAlign w:val="bottom"/>
          </w:tcPr>
          <w:p>
            <w:pPr>
              <w:pStyle w:val="TableContents"/>
              <w:bidi w:val="0"/>
              <w:spacing w:before="0" w:after="0"/>
              <w:jc w:val="right"/>
              <w:rPr>
                <w:color w:val="000000"/>
              </w:rPr>
            </w:pPr>
            <w:r>
              <w:rPr>
                <w:color w:val="000000"/>
              </w:rPr>
              <w:t>181,855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0"/>
              <w:jc w:val="left"/>
              <w:rPr>
                <w:color w:val="000000"/>
              </w:rPr>
            </w:pPr>
            <w:r>
              <w:rPr>
                <w:color w:val="000000"/>
              </w:rPr>
              <w:t>$</w:t>
            </w:r>
          </w:p>
        </w:tc>
        <w:tc>
          <w:tcPr>
            <w:tcW w:w="846" w:type="dxa"/>
            <w:tcBorders/>
            <w:shd w:fill="CCEEFF" w:val="clear"/>
            <w:vAlign w:val="bottom"/>
          </w:tcPr>
          <w:p>
            <w:pPr>
              <w:pStyle w:val="TableContents"/>
              <w:bidi w:val="0"/>
              <w:spacing w:before="0" w:after="0"/>
              <w:jc w:val="right"/>
              <w:rPr>
                <w:color w:val="000000"/>
              </w:rPr>
            </w:pPr>
            <w:r>
              <w:rPr>
                <w:color w:val="000000"/>
              </w:rPr>
              <w:t>136,762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color w:val="000000"/>
              </w:rPr>
            </w:pPr>
            <w:r>
              <w:rPr>
                <w:color w:val="000000"/>
              </w:rPr>
              <w:t>$</w:t>
            </w:r>
          </w:p>
        </w:tc>
        <w:tc>
          <w:tcPr>
            <w:tcW w:w="949" w:type="dxa"/>
            <w:tcBorders/>
            <w:shd w:fill="CCEEFF" w:val="clear"/>
            <w:vAlign w:val="bottom"/>
          </w:tcPr>
          <w:p>
            <w:pPr>
              <w:pStyle w:val="TableContents"/>
              <w:bidi w:val="0"/>
              <w:spacing w:before="0" w:after="0"/>
              <w:jc w:val="right"/>
              <w:rPr>
                <w:color w:val="000000"/>
              </w:rPr>
            </w:pPr>
            <w:r>
              <w:rPr>
                <w:color w:val="000000"/>
              </w:rPr>
              <w:t>132,033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557,275</w:t>
            </w:r>
          </w:p>
        </w:tc>
        <w:tc>
          <w:tcPr>
            <w:tcW w:w="75" w:type="dxa"/>
            <w:tcBorders/>
            <w:shd w:fill="CCEEFF" w:val="clear"/>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0"/>
              <w:jc w:val="both"/>
              <w:rPr>
                <w:color w:val="000000"/>
              </w:rPr>
            </w:pPr>
            <w:r>
              <w:rPr>
                <w:color w:val="000000"/>
              </w:rPr>
              <w:t>Finance leases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0"/>
              <w:jc w:val="right"/>
              <w:rPr>
                <w:color w:val="000000"/>
              </w:rPr>
            </w:pPr>
            <w:r>
              <w:rPr>
                <w:color w:val="000000"/>
              </w:rPr>
              <w:t>1,011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0"/>
              <w:jc w:val="right"/>
              <w:rPr>
                <w:color w:val="000000"/>
              </w:rPr>
            </w:pPr>
            <w:r>
              <w:rPr>
                <w:color w:val="000000"/>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0"/>
              <w:jc w:val="right"/>
              <w:rPr>
                <w:color w:val="000000"/>
              </w:rPr>
            </w:pPr>
            <w:r>
              <w:rPr>
                <w:color w:val="000000"/>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1,859</w:t>
            </w:r>
          </w:p>
        </w:tc>
        <w:tc>
          <w:tcPr>
            <w:tcW w:w="75" w:type="dxa"/>
            <w:tcBorders/>
            <w:vAlign w:val="bottom"/>
          </w:tcPr>
          <w:p>
            <w:pPr>
              <w:pStyle w:val="TableContents"/>
              <w:bidi w:val="0"/>
              <w:spacing w:before="0" w:after="283"/>
              <w:jc w:val="left"/>
              <w:rPr/>
            </w:pPr>
            <w:r>
              <w:rPr/>
              <w:t> </w:t>
            </w:r>
          </w:p>
        </w:tc>
      </w:tr>
      <w:tr>
        <w:trPr/>
        <w:tc>
          <w:tcPr>
            <w:tcW w:w="2315" w:type="dxa"/>
            <w:tcBorders/>
            <w:shd w:fill="CCEEFF" w:val="clear"/>
            <w:vAlign w:val="bottom"/>
          </w:tcPr>
          <w:p>
            <w:pPr>
              <w:pStyle w:val="TableContents"/>
              <w:bidi w:val="0"/>
              <w:spacing w:lineRule="auto" w:line="240" w:before="0" w:after="0"/>
              <w:jc w:val="both"/>
              <w:rPr>
                <w:color w:val="000000"/>
              </w:rPr>
            </w:pPr>
            <w:r>
              <w:rPr>
                <w:color w:val="000000"/>
              </w:rPr>
              <w:t>Purchase obligations (2)</w:t>
            </w:r>
          </w:p>
        </w:tc>
        <w:tc>
          <w:tcPr>
            <w:tcW w:w="60" w:type="dxa"/>
            <w:tcBorders/>
            <w:shd w:fill="CCEEFF" w:val="clear"/>
            <w:vAlign w:val="bottom"/>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21,400</w:t>
            </w:r>
          </w:p>
        </w:tc>
        <w:tc>
          <w:tcPr>
            <w:tcW w:w="75" w:type="dxa"/>
            <w:tcBorders/>
            <w:shd w:fill="CCEEFF" w:val="clear"/>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0"/>
              <w:jc w:val="both"/>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18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5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129,036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182,690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136,775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4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132,033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580,534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both"/>
              <w:rPr>
                <w:color w:val="000000"/>
              </w:rPr>
            </w:pPr>
            <w:r>
              <w:rPr>
                <w:color w:val="000000"/>
              </w:rPr>
              <w:t>Operating lease payments exclude $26.6 million of legally binding minimum lease payments for leases signed, but not yet commenced.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0"/>
              <w:jc w:val="both"/>
              <w:rPr>
                <w:color w:val="000000"/>
              </w:rPr>
            </w:pPr>
            <w:r>
              <w:rPr>
                <w:color w:val="000000"/>
              </w:rPr>
              <w:t>Purchase obligations are primarily for materials and construction agreement for our fourth distribution center in Princeton, IL.</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Seasonality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is seasonal in nature and demand is generally the highest in our fourth fiscal quarter due to the holiday sales season.  To prepare for the holiday sales season, we must order and keep in stock more merchandise than we carry during other times of the year and generally engage in additional marketing efforts.  We expect inventory levels, along with accounts payable and accrued expenses, to reach their highest levels in our third and fourth fiscal quarters in anticipation of increased net sales during the holiday sales season.  As a result of this seasonality, and generally because of variation in consumer spending habits, we experience fluctuations in net sales and working capital requirements during the year.  Because we offer a broad selection of merchandise at extreme values, we believe we are generally less impacted than other retailers by economic cycles which correspond with declines in general consumer spending habits and we believe we still benefit from periods of increased consumer spending.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Accounting Estimates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consolidated financial statements have been prepared in accordance with GAAP.  A summary of our significant accounting policies can be found in Note 1 to our audited consolidated financial statements included elsewhere in this Annual Report on Form 10-K.  The preparation of these consolidated financial statements requires us to make judgments and estimates that affect the reported amounts of assets, liabilities, revenues, expenses, and related disclosures.  These judgments and estimates are based on historical and other factors believed to be reasonable under the circumstances.  We have identified the policies below as critical to our business operations and understanding of our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Inventories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Inventories are stated at the lower of cost or market determined using the retail inventory method on a first-in, first-out basis. The cost of inventories includes the merchandise cost, transportation costs, and certain distribution and storage costs. Such costs are thereafter expensed as cost of sales upon the sale of the merchandise.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retail inventory method, which is widely used in the retail industry, inventory is segregated into departments of merchandise having similar characteristics.  The valuation of inventories and the resulting gross profit is derived by applying a calculated cost-to-retail ratio to the retail value of inventories for each department.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Inherent in the retail inventory method are certain management judgments and estimates including, among others, merchandise markups, the amount and timing of permanent markdowns, and shrinkage, which may significantly impact both the ending inventory valuation and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Factors considered in the determination of permanent markdowns include uncertainties related to inventory obsolescence, excess inventories, current and anticipated demand, age of the merchandise and customer preferences.  A significant increase in the demand for merchandise could result in a short-term increase in inventory purchases while a significant decrease in demand could result in an increase in the amount of excess inventory quantities on-hand.  If our inventory is determined to be overvalued in the future, we would be required to recognize such costs in cost of sales and reduce operating income at the time of such determination.  Therefore, although every effort is made to ensure the accuracy of forecasts of merchandise demand, any significant unanticipated changes in demand or in economic conditions within our markets could have a significant impact on the value of our inventory and reported operating results.  Similarly, if higher than anticipated levels of shrinkage were to occur, it could have a material effect on our results of operations. We calculate our shrink provision based on actual physical inventory results during the fiscal period and an accrual for estimated shrink occurring subsequent to a physical inventory through the end of the fiscal reporting period. This accrual is calculated as a percentage of sales for each retail store, at a department level, based on the company’s most recent historical shrink rate adjusted, if necessary, for current economic conditions and business trends. To the extent that subsequent physical inventories yield different results than the estimated accrual, our effective shrink rate for a given reporting period will include the impact of adjusting to the actual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not made any material changes in the methodology used to recognize permanent markdowns or inventory shrinkage in the financial periods presented nor do we anticipate material changes in assumptions we use for permanent markdowns or shrinkage.  As previously stated, however, if our actual experience does not accurately reflect our assumptions and forecasts, we may be exposed to losses or gains that could be material.  We believe a 10% change in our assumptions as of February 3, 2024 would have impacted net income by approximately $1.0 million in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Goodwill/Intangible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amortize intangible assets over their useful lives unless we determine such lives to be indefinite. Goodwill and intangible assets having indefinite useful lives are not amortized to earnings, but instead are subject to annual impairment testing or more frequently if events or circumstances indicate that the value of goodwill or intangible assets having indefinite useful lives might be impaired.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Goodwill and intangible assets having indefinite useful lives are tested for impairment annually in the fiscal month of October. We have the option to evaluate qualitative factors to determine if it is more likely than not that the carrying amount of our sole reporting unit or our nonamortizing intangible assets (consisting of a tradename) exceed their implied respective fair value and whether it is necessary to perform a quantitative analysis to determine impairment. As part of this qualitative assessment, we weigh the relative impact of factors that are specific to our sole reporting unit or our nonamortizing intangible assets as well as industry, regulatory and macroeconomic factors that could affect the inputs used to determine the fair value of the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management determines a quantitative goodwill impairment test is required, or it elects to perform a quantitative test, the test is performed by determining the fair value of our sole reporting unit. Fair value is determined based on our public market capitalization. The carrying value of goodwill is considered impaired when the reporting unit’s fair value is less than its carrying value and the Company would record an impairment loss equal to the difference, not to exceed the total amount of goodwill allocated to the reporting unit.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management determines a quantitative analysis of intangible assets having indefinite useful lives is required, the test is performed using the discounted cash flow method based on management’s projection of future revenues and an estimated royalty rate to determine the fair value of the asset, specifically, our tradename.  An impairment loss is recognized for any excess of the carrying amount of the asset over the implied fair value of that asset.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impairment calculations contain uncertainties as they require management to make assumptions and apply judgment to qualitative factors as well as estimate future cash flows by forecasting financial performance.  Our policy is to conduct impairment testing based on our most current business plans, which reflect anticipated changes in the economy and the retail industry. Should significant changes in our overall business strategy, future results or economic events cause us to adjust our projected cash flows, future estimates of fair value may not support the carrying amount of these assets. If actual results prove inconsistent with our assumptions and judgments, we could be exposed to an impairment charge.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2023 and 2022, we completed an impairment test of our goodwill and determined that no impairment of goodwill existed.  Similarly, for 2023 and 2022, we completed an impairment test of our tradename and determined that no impairment of the asset existed.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21" w:name="QuantitativeandQualitativ"/>
      <w:bookmarkStart w:id="22" w:name="QuantitativeandQualitativ"/>
      <w:bookmarkEnd w:id="22"/>
    </w:p>
    <w:tbl>
      <w:tblPr>
        <w:tblW w:w="7120" w:type="dxa"/>
        <w:jc w:val="left"/>
        <w:tblInd w:w="0" w:type="dxa"/>
        <w:tblLayout w:type="fixed"/>
        <w:tblCellMar>
          <w:top w:w="0" w:type="dxa"/>
          <w:left w:w="0" w:type="dxa"/>
          <w:bottom w:w="0" w:type="dxa"/>
          <w:right w:w="0" w:type="dxa"/>
        </w:tblCellMar>
      </w:tblPr>
      <w:tblGrid>
        <w:gridCol w:w="920"/>
        <w:gridCol w:w="6200"/>
      </w:tblGrid>
      <w:tr>
        <w:trPr/>
        <w:tc>
          <w:tcPr>
            <w:tcW w:w="920" w:type="dxa"/>
            <w:tcBorders/>
            <w:vAlign w:val="center"/>
          </w:tcPr>
          <w:p>
            <w:pPr>
              <w:pStyle w:val="TableContents"/>
              <w:bidi w:val="0"/>
              <w:spacing w:before="0" w:after="283"/>
              <w:jc w:val="left"/>
              <w:rPr>
                <w:b/>
              </w:rPr>
            </w:pPr>
            <w:r>
              <w:rPr>
                <w:b/>
              </w:rPr>
              <w:t>Item 7A.</w:t>
            </w:r>
          </w:p>
        </w:tc>
        <w:tc>
          <w:tcPr>
            <w:tcW w:w="6200" w:type="dxa"/>
            <w:tcBorders/>
            <w:vAlign w:val="center"/>
          </w:tcPr>
          <w:p>
            <w:pPr>
              <w:pStyle w:val="TableContents"/>
              <w:bidi w:val="0"/>
              <w:spacing w:before="0" w:after="0"/>
              <w:jc w:val="both"/>
              <w:rPr>
                <w:b/>
              </w:rPr>
            </w:pPr>
            <w:r>
              <w:rPr>
                <w:b/>
              </w:rPr>
              <w:t>Quantitative and Qualitative Disclosures about Market Risks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Rate Risk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operating results are subject to risk from interest rate fluctuations on our Credit Facility, which carries variable interest rates.  As of February 3, 2024, our Credit Facility consisted solely of a Revolving Credit Facility with advances tied to a borrowing base.  Because our Credit Facility bears interest at a variable rate, we are exposed to market risks relating to changes in interest rates. As of February 3, 2024, we had no outstanding variable rate debt under our Revolving Credit Facility.  We do not use derivative financial instruments for speculative or trading purposes, but this does not preclude our adoption of specific hedging strategies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Impact of Inflation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be assured that our results of operations and financial condition will not be materially impacted by inflation in the future.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23" w:name="FinancialStatementsandSup"/>
      <w:bookmarkStart w:id="24" w:name="FinancialStatementsandSup"/>
      <w:bookmarkEnd w:id="24"/>
    </w:p>
    <w:tbl>
      <w:tblPr>
        <w:tblW w:w="4570" w:type="dxa"/>
        <w:jc w:val="left"/>
        <w:tblInd w:w="0" w:type="dxa"/>
        <w:tblLayout w:type="fixed"/>
        <w:tblCellMar>
          <w:top w:w="0" w:type="dxa"/>
          <w:left w:w="0" w:type="dxa"/>
          <w:bottom w:w="0" w:type="dxa"/>
          <w:right w:w="0" w:type="dxa"/>
        </w:tblCellMar>
      </w:tblPr>
      <w:tblGrid>
        <w:gridCol w:w="620"/>
        <w:gridCol w:w="3950"/>
      </w:tblGrid>
      <w:tr>
        <w:trPr/>
        <w:tc>
          <w:tcPr>
            <w:tcW w:w="62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Item 8:</w:t>
            </w:r>
          </w:p>
        </w:tc>
        <w:tc>
          <w:tcPr>
            <w:tcW w:w="3950"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Financial Statements and Supplementary Data.</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OLLIE’S BARGAIN OUTLET HOLDINGS, INC. AND SUBSIDIARIES</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Index to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r>
    </w:p>
    <w:tbl>
      <w:tblPr>
        <w:tblW w:w="10205" w:type="dxa"/>
        <w:jc w:val="left"/>
        <w:tblInd w:w="0" w:type="dxa"/>
        <w:tblLayout w:type="fixed"/>
        <w:tblCellMar>
          <w:top w:w="0" w:type="dxa"/>
          <w:left w:w="0" w:type="dxa"/>
          <w:bottom w:w="0" w:type="dxa"/>
          <w:right w:w="0" w:type="dxa"/>
        </w:tblCellMar>
      </w:tblPr>
      <w:tblGrid>
        <w:gridCol w:w="9765"/>
        <w:gridCol w:w="440"/>
      </w:tblGrid>
      <w:tr>
        <w:trPr/>
        <w:tc>
          <w:tcPr>
            <w:tcW w:w="9765" w:type="dxa"/>
            <w:tcBorders/>
            <w:vAlign w:val="center"/>
          </w:tcPr>
          <w:p>
            <w:pPr>
              <w:pStyle w:val="TableContents"/>
              <w:bidi w:val="0"/>
              <w:spacing w:before="0" w:after="0"/>
              <w:jc w:val="left"/>
              <w:rPr/>
            </w:pPr>
            <w:r>
              <w:rPr/>
              <w:t> </w:t>
            </w:r>
          </w:p>
        </w:tc>
        <w:tc>
          <w:tcPr>
            <w:tcW w:w="44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9765" w:type="dxa"/>
            <w:tcBorders/>
            <w:shd w:fill="CCEEFF" w:val="clear"/>
            <w:vAlign w:val="center"/>
          </w:tcPr>
          <w:p>
            <w:pPr>
              <w:pStyle w:val="TableContents"/>
              <w:bidi w:val="0"/>
              <w:spacing w:before="0" w:after="0"/>
              <w:ind w:left="0" w:right="1440" w:hanging="0"/>
              <w:jc w:val="left"/>
              <w:rPr/>
            </w:pPr>
            <w:hyperlink w:anchor="ReportofIndependentRegist">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0"/>
              </w:rPr>
              <w:t xml:space="preserve"> (KPMG LLP, Harrisburg, PA, Auditor Firm ID 185) </w:t>
            </w:r>
          </w:p>
        </w:tc>
        <w:tc>
          <w:tcPr>
            <w:tcW w:w="44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53</w:t>
            </w:r>
          </w:p>
        </w:tc>
      </w:tr>
      <w:tr>
        <w:trPr/>
        <w:tc>
          <w:tcPr>
            <w:tcW w:w="976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r>
      <w:tr>
        <w:trPr/>
        <w:tc>
          <w:tcPr>
            <w:tcW w:w="9765" w:type="dxa"/>
            <w:tcBorders/>
            <w:shd w:fill="CCEEFF" w:val="clear"/>
            <w:vAlign w:val="center"/>
          </w:tcPr>
          <w:p>
            <w:pPr>
              <w:pStyle w:val="TableContents"/>
              <w:bidi w:val="0"/>
              <w:spacing w:before="0" w:after="0"/>
              <w:ind w:left="0" w:right="1440" w:hanging="0"/>
              <w:jc w:val="left"/>
              <w:rPr>
                <w:rFonts w:ascii="Times New Roman;Times;serif" w:hAnsi="Times New Roman;Times;serif"/>
                <w:sz w:val="20"/>
              </w:rPr>
            </w:pPr>
            <w:r>
              <w:rPr>
                <w:rFonts w:ascii="Times New Roman;Times;serif" w:hAnsi="Times New Roman;Times;serif"/>
                <w:sz w:val="20"/>
              </w:rPr>
              <w:t>Consolidated Financial Statements:</w:t>
            </w:r>
          </w:p>
        </w:tc>
        <w:tc>
          <w:tcPr>
            <w:tcW w:w="440" w:type="dxa"/>
            <w:tcBorders/>
            <w:shd w:fill="CCEEFF" w:val="clear"/>
            <w:vAlign w:val="center"/>
          </w:tcPr>
          <w:p>
            <w:pPr>
              <w:pStyle w:val="TableContents"/>
              <w:bidi w:val="0"/>
              <w:spacing w:before="0" w:after="0"/>
              <w:jc w:val="center"/>
              <w:rPr/>
            </w:pPr>
            <w:r>
              <w:rPr/>
              <w:t> </w:t>
            </w:r>
          </w:p>
        </w:tc>
      </w:tr>
      <w:tr>
        <w:trPr/>
        <w:tc>
          <w:tcPr>
            <w:tcW w:w="976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r>
      <w:tr>
        <w:trPr/>
        <w:tc>
          <w:tcPr>
            <w:tcW w:w="9765" w:type="dxa"/>
            <w:tcBorders/>
            <w:shd w:fill="CCEEFF" w:val="clear"/>
            <w:vAlign w:val="center"/>
          </w:tcPr>
          <w:p>
            <w:pPr>
              <w:pStyle w:val="TableContents"/>
              <w:bidi w:val="0"/>
              <w:spacing w:before="0" w:after="0"/>
              <w:ind w:left="180" w:right="1440" w:hanging="0"/>
              <w:jc w:val="left"/>
              <w:rPr/>
            </w:pPr>
            <w:hyperlink w:anchor="IncomeStatement">
              <w:r>
                <w:rPr>
                  <w:rStyle w:val="InternetLink"/>
                  <w:rFonts w:ascii="Times New Roman;Times;serif" w:hAnsi="Times New Roman;Times;serif"/>
                  <w:sz w:val="20"/>
                </w:rPr>
                <w:t>Consolidated Statements of Income</w:t>
              </w:r>
            </w:hyperlink>
            <w:r>
              <w:rPr>
                <w:rFonts w:ascii="Times New Roman;Times;serif" w:hAnsi="Times New Roman;Times;serif"/>
                <w:sz w:val="20"/>
              </w:rPr>
              <w:t xml:space="preserve"> for the fiscal years ended February 3, 2024, January 28, 2023, and January 29, 2022</w:t>
            </w:r>
          </w:p>
        </w:tc>
        <w:tc>
          <w:tcPr>
            <w:tcW w:w="44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54</w:t>
            </w:r>
          </w:p>
        </w:tc>
      </w:tr>
      <w:tr>
        <w:trPr/>
        <w:tc>
          <w:tcPr>
            <w:tcW w:w="976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r>
      <w:tr>
        <w:trPr/>
        <w:tc>
          <w:tcPr>
            <w:tcW w:w="9765" w:type="dxa"/>
            <w:tcBorders/>
            <w:shd w:fill="CCEEFF" w:val="clear"/>
            <w:vAlign w:val="center"/>
          </w:tcPr>
          <w:p>
            <w:pPr>
              <w:pStyle w:val="TableContents"/>
              <w:bidi w:val="0"/>
              <w:spacing w:before="0" w:after="0"/>
              <w:ind w:left="180" w:right="1440" w:hanging="0"/>
              <w:jc w:val="left"/>
              <w:rPr/>
            </w:pPr>
            <w:hyperlink w:anchor="BalanceSheets">
              <w:r>
                <w:rPr>
                  <w:rStyle w:val="InternetLink"/>
                  <w:rFonts w:ascii="Times New Roman;Times;serif" w:hAnsi="Times New Roman;Times;serif"/>
                  <w:sz w:val="20"/>
                </w:rPr>
                <w:t>Consolidated Balance Sheets</w:t>
              </w:r>
            </w:hyperlink>
            <w:r>
              <w:rPr>
                <w:rFonts w:ascii="Times New Roman;Times;serif" w:hAnsi="Times New Roman;Times;serif"/>
                <w:sz w:val="20"/>
              </w:rPr>
              <w:t xml:space="preserve"> as of February 3, 2024 and January 28, 2023</w:t>
            </w:r>
          </w:p>
        </w:tc>
        <w:tc>
          <w:tcPr>
            <w:tcW w:w="440" w:type="dxa"/>
            <w:tcBorders/>
            <w:shd w:fill="CCEEFF" w:val="clear"/>
            <w:vAlign w:val="center"/>
          </w:tcPr>
          <w:p>
            <w:pPr>
              <w:pStyle w:val="TableContents"/>
              <w:bidi w:val="0"/>
              <w:spacing w:before="0" w:after="283"/>
              <w:jc w:val="center"/>
              <w:rPr/>
            </w:pPr>
            <w:r>
              <w:rPr/>
              <w:t>55</w:t>
            </w:r>
          </w:p>
        </w:tc>
      </w:tr>
      <w:tr>
        <w:trPr/>
        <w:tc>
          <w:tcPr>
            <w:tcW w:w="976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r>
      <w:tr>
        <w:trPr/>
        <w:tc>
          <w:tcPr>
            <w:tcW w:w="9765" w:type="dxa"/>
            <w:tcBorders/>
            <w:shd w:fill="CCEEFF" w:val="clear"/>
            <w:vAlign w:val="center"/>
          </w:tcPr>
          <w:p>
            <w:pPr>
              <w:pStyle w:val="TableContents"/>
              <w:bidi w:val="0"/>
              <w:spacing w:before="0" w:after="0"/>
              <w:ind w:left="180" w:right="0" w:hanging="0"/>
              <w:jc w:val="left"/>
              <w:rPr/>
            </w:pPr>
            <w:hyperlink w:anchor="StatementsofStockholdersE">
              <w:r>
                <w:rPr>
                  <w:rStyle w:val="InternetLink"/>
                  <w:rFonts w:ascii="Times New Roman;Times;serif" w:hAnsi="Times New Roman;Times;serif"/>
                  <w:sz w:val="20"/>
                </w:rPr>
                <w:t>Consolidated Statements of Stockholders’ Equity</w:t>
              </w:r>
            </w:hyperlink>
            <w:r>
              <w:rPr>
                <w:rFonts w:ascii="Times New Roman;Times;serif" w:hAnsi="Times New Roman;Times;serif"/>
                <w:sz w:val="20"/>
              </w:rPr>
              <w:t xml:space="preserve"> for the fiscal years ended February 3, 2024, January 28, 2023, and January 29, 2022</w:t>
            </w:r>
          </w:p>
        </w:tc>
        <w:tc>
          <w:tcPr>
            <w:tcW w:w="44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56</w:t>
            </w:r>
          </w:p>
        </w:tc>
      </w:tr>
      <w:tr>
        <w:trPr/>
        <w:tc>
          <w:tcPr>
            <w:tcW w:w="976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r>
      <w:tr>
        <w:trPr/>
        <w:tc>
          <w:tcPr>
            <w:tcW w:w="9765" w:type="dxa"/>
            <w:tcBorders/>
            <w:shd w:fill="CCEEFF" w:val="clear"/>
            <w:vAlign w:val="center"/>
          </w:tcPr>
          <w:p>
            <w:pPr>
              <w:pStyle w:val="TableContents"/>
              <w:bidi w:val="0"/>
              <w:spacing w:before="0" w:after="0"/>
              <w:ind w:left="180" w:right="1440" w:hanging="0"/>
              <w:jc w:val="left"/>
              <w:rPr/>
            </w:pPr>
            <w:hyperlink w:anchor="StatementsofCashFlows">
              <w:r>
                <w:rPr>
                  <w:rStyle w:val="InternetLink"/>
                  <w:rFonts w:ascii="Times New Roman;Times;serif" w:hAnsi="Times New Roman;Times;serif"/>
                  <w:sz w:val="20"/>
                </w:rPr>
                <w:t>Consolidated Statements of Cash Flows</w:t>
              </w:r>
            </w:hyperlink>
            <w:r>
              <w:rPr>
                <w:rFonts w:ascii="Times New Roman;Times;serif" w:hAnsi="Times New Roman;Times;serif"/>
                <w:sz w:val="20"/>
              </w:rPr>
              <w:t xml:space="preserve"> for the fiscal years ended February 3, 2024, January 28, 2023, and January 29, 2022</w:t>
            </w:r>
          </w:p>
        </w:tc>
        <w:tc>
          <w:tcPr>
            <w:tcW w:w="44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57</w:t>
            </w:r>
          </w:p>
        </w:tc>
      </w:tr>
      <w:tr>
        <w:trPr/>
        <w:tc>
          <w:tcPr>
            <w:tcW w:w="976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r>
      <w:tr>
        <w:trPr/>
        <w:tc>
          <w:tcPr>
            <w:tcW w:w="9765" w:type="dxa"/>
            <w:tcBorders/>
            <w:shd w:fill="CCEEFF" w:val="clear"/>
            <w:vAlign w:val="center"/>
          </w:tcPr>
          <w:p>
            <w:pPr>
              <w:pStyle w:val="TableContents"/>
              <w:bidi w:val="0"/>
              <w:spacing w:before="0" w:after="0"/>
              <w:ind w:left="0" w:right="1440" w:hanging="0"/>
              <w:jc w:val="left"/>
              <w:rPr/>
            </w:pPr>
            <w:hyperlink w:anchor="ConsolidatedFinancialStat">
              <w:r>
                <w:rPr>
                  <w:rStyle w:val="InternetLink"/>
                  <w:rFonts w:ascii="Times New Roman;Times;serif" w:hAnsi="Times New Roman;Times;serif"/>
                  <w:sz w:val="20"/>
                </w:rPr>
                <w:t>Notes to Consolidated Financial Statements</w:t>
              </w:r>
            </w:hyperlink>
          </w:p>
        </w:tc>
        <w:tc>
          <w:tcPr>
            <w:tcW w:w="440" w:type="dxa"/>
            <w:tcBorders/>
            <w:shd w:fill="CCEEFF" w:val="clear"/>
            <w:vAlign w:val="center"/>
          </w:tcPr>
          <w:p>
            <w:pPr>
              <w:pStyle w:val="TableContents"/>
              <w:bidi w:val="0"/>
              <w:spacing w:before="0" w:after="283"/>
              <w:jc w:val="center"/>
              <w:rPr/>
            </w:pPr>
            <w:r>
              <w:rPr/>
              <w:t>58</w:t>
            </w:r>
          </w:p>
        </w:tc>
      </w:tr>
      <w:tr>
        <w:trPr/>
        <w:tc>
          <w:tcPr>
            <w:tcW w:w="9765"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r>
      <w:tr>
        <w:trPr/>
        <w:tc>
          <w:tcPr>
            <w:tcW w:w="9765" w:type="dxa"/>
            <w:tcBorders/>
            <w:shd w:fill="CCEEFF" w:val="clear"/>
            <w:vAlign w:val="center"/>
          </w:tcPr>
          <w:p>
            <w:pPr>
              <w:pStyle w:val="TableContents"/>
              <w:bidi w:val="0"/>
              <w:spacing w:before="0" w:after="0"/>
              <w:ind w:left="0" w:right="1440" w:hanging="0"/>
              <w:jc w:val="left"/>
              <w:rPr/>
            </w:pPr>
            <w:hyperlink w:anchor="FinancialInformationofReg">
              <w:r>
                <w:rPr>
                  <w:rStyle w:val="InternetLink"/>
                  <w:rFonts w:ascii="Times New Roman;Times;serif" w:hAnsi="Times New Roman;Times;serif"/>
                  <w:sz w:val="20"/>
                </w:rPr>
                <w:t>Schedule I – Condensed Financial Information of Registrant</w:t>
              </w:r>
            </w:hyperlink>
          </w:p>
        </w:tc>
        <w:tc>
          <w:tcPr>
            <w:tcW w:w="44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5" w:name="ReportofIndependentRegist"/>
      <w:bookmarkStart w:id="26" w:name="Report"/>
      <w:bookmarkEnd w:id="25"/>
      <w:bookmarkEnd w:id="26"/>
      <w:r>
        <w:rPr>
          <w:rFonts w:ascii="Times New Roman" w:hAnsi="Times New Roman"/>
          <w:b/>
          <w:color w:val="000000"/>
          <w:sz w:val="20"/>
          <w:shd w:fill="FFFFFF" w:val="clear"/>
        </w:rPr>
        <w:t>Report of Independent Registered Public Accounting Firm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To the Stockholders and Board of Directors</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Ollie’s Bargain Outlet Holdings, Inc.:</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Opinion on the Consolidated Financial Statements</w:t>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have audited the accompanying consolidated balance sheets of Ollie’s Bargain Outlet Holdings, Inc. and subsidiaries (the Company) as of February 3, 2024 and January 28, 2023, the related consolidated statements of income, stockholders’ equity, and cash flows for each of the fiscal years in the three-year period ended February 3, 2024, and the related notes and financial statement schedule I - condensed financial information of registrant (collectively, the consolidated financial statements). In our opinion, the consolidated financial statements present fairly, in all material respects, the financial position of the Company as of February 3, 2024 and January 28, 2023, and the results of its operations and its cash flows for each of the fiscal years in the three-year period ended February 3, 2024, in conformity with U.S. generally accepted accounting principles.</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also have audited, in accordance with the standards of the Public Company Accounting Oversight Board (United States) (PCAOB), the Company’s internal control over financial reporting as of February 3, 2024, based on criteria established in </w:t>
      </w:r>
      <w:r>
        <w:rPr>
          <w:rFonts w:ascii="Times New Roman" w:hAnsi="Times New Roman"/>
          <w:b w:val="false"/>
          <w:i/>
          <w:caps w:val="false"/>
          <w:smallCaps w:val="false"/>
          <w:color w:val="000000"/>
          <w:spacing w:val="0"/>
          <w:sz w:val="20"/>
          <w:shd w:fill="FFFFFF" w:val="clear"/>
        </w:rPr>
        <w:t>Internal Control – Integrated Framework (2013)</w:t>
      </w:r>
      <w:r>
        <w:rPr>
          <w:rFonts w:ascii="Times New Roman" w:hAnsi="Times New Roman"/>
          <w:b w:val="false"/>
          <w:i w:val="false"/>
          <w:caps w:val="false"/>
          <w:smallCaps w:val="false"/>
          <w:color w:val="000000"/>
          <w:spacing w:val="0"/>
          <w:sz w:val="20"/>
          <w:shd w:fill="FFFFFF" w:val="clear"/>
        </w:rPr>
        <w:t> issued by the Committee of Sponsoring Organizations of the Treadway Commission, and our report dated March 27, 2024 expressed an unqualified opinion on the effectiveness of the Company’s internal control over financial reporting.</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Basis for Opinion</w:t>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Critical Audit Matter</w:t>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r>
    </w:p>
    <w:p>
      <w:pPr>
        <w:pStyle w:val="TextBody"/>
        <w:bidi w:val="0"/>
        <w:spacing w:before="0" w:after="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Evaluation of store shrink</w:t>
      </w:r>
    </w:p>
    <w:p>
      <w:pPr>
        <w:pStyle w:val="TextBody"/>
        <w:bidi w:val="0"/>
        <w:spacing w:before="0" w:after="0"/>
        <w:ind w:left="0" w:right="0" w:firstLine="63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discussed in Note 1(h) to the consolidated financial statements, inventories are valued at the lower of cost or market determined using the retail inventory method on a first-in, first-out basis. The retail inventory method is based on a number of factors such as markups, markdowns, and shrinkage (or shrink). The Company calculates the shrink provision based on actual physical inventory results during the fiscal period and estimated shrink occurring subsequent to a physical inventory through the end of the fiscal reporting period. This accrual is calculated as a percentage of sales for each retail store, at a department level, based on the Company’s most recent historical shrink rate adjusted, if necessary, for current economic conditions and business trends.  The Company’s inventories were $505.8 million as of February 3, 2024.</w:t>
      </w:r>
    </w:p>
    <w:p>
      <w:pPr>
        <w:pStyle w:val="TextBody"/>
        <w:bidi w:val="0"/>
        <w:spacing w:before="0" w:after="0"/>
        <w:ind w:left="634"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identified the evaluation of the estimation of store shrink occurring between the physical inventory counts and the fiscal year-end as a critical audit matter.  Evaluation of the Company’s estimation of shrink at the end of the fiscal year involved subjective auditor judgment due to the estimation uncertainty associated with the shrink rate assumption.</w:t>
      </w:r>
    </w:p>
    <w:p>
      <w:pPr>
        <w:pStyle w:val="TextBody"/>
        <w:bidi w:val="0"/>
        <w:spacing w:before="0" w:after="0"/>
        <w:ind w:left="634"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are the primary procedures we performed to address this critical audit matter. We evaluated the design and tested the operating effectiveness of certain internal controls related to the estimation of store shrink. We evaluated the appropriateness of the Company’s shrink accrual at the end of the fiscal year by (1) evaluating the shrink rate used by comparing to historical shrink rates, (2) testing the application of the method and certain assumptions used, and (3) performing a sensitivity analysis over the shrink reserve estimate.</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200"/>
        <w:ind w:left="63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 KPMG LLP</w:t>
      </w:r>
    </w:p>
    <w:p>
      <w:pPr>
        <w:pStyle w:val="TextBody"/>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have served as the Company’s auditor since 2009.</w:t>
      </w:r>
    </w:p>
    <w:p>
      <w:pPr>
        <w:pStyle w:val="TextBody"/>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Harrisburg, Pennsylvania</w:t>
      </w:r>
    </w:p>
    <w:p>
      <w:pPr>
        <w:pStyle w:val="TextBody"/>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March 27,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bookmarkStart w:id="27" w:name="IncomeStatement"/>
      <w:bookmarkEnd w:id="27"/>
      <w:r>
        <w:rPr>
          <w:rFonts w:ascii="Times New Roman;Times;serif" w:hAnsi="Times New Roman;Times;serif"/>
          <w:b/>
          <w:color w:val="000000"/>
          <w:sz w:val="20"/>
          <w:shd w:fill="FFFFFF" w:val="clear"/>
        </w:rPr>
        <w:t>OLLIE’S BARGAIN OUTLET HOLDINGS, INC. AND SUBSIDIARIES</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Consolidated Statements of Income</w:t>
      </w:r>
      <w:bookmarkStart w:id="28" w:name="StatementsofIncome"/>
      <w:bookmarkEnd w:id="28"/>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thousands, except per share amounts)</w:t>
      </w:r>
    </w:p>
    <w:p>
      <w:pPr>
        <w:pStyle w:val="TextBody"/>
        <w:bidi w:val="0"/>
        <w:spacing w:before="0" w:after="0"/>
        <w:jc w:val="left"/>
        <w:rPr/>
      </w:pPr>
      <w:r>
        <w:rPr/>
      </w:r>
    </w:p>
    <w:tbl>
      <w:tblPr>
        <w:tblW w:w="8157" w:type="dxa"/>
        <w:jc w:val="left"/>
        <w:tblInd w:w="0" w:type="dxa"/>
        <w:tblLayout w:type="fixed"/>
        <w:tblCellMar>
          <w:top w:w="0" w:type="dxa"/>
          <w:left w:w="0" w:type="dxa"/>
          <w:bottom w:w="0" w:type="dxa"/>
          <w:right w:w="0" w:type="dxa"/>
        </w:tblCellMar>
      </w:tblPr>
      <w:tblGrid>
        <w:gridCol w:w="4040"/>
        <w:gridCol w:w="60"/>
        <w:gridCol w:w="158"/>
        <w:gridCol w:w="1076"/>
        <w:gridCol w:w="80"/>
        <w:gridCol w:w="60"/>
        <w:gridCol w:w="159"/>
        <w:gridCol w:w="1075"/>
        <w:gridCol w:w="80"/>
        <w:gridCol w:w="60"/>
        <w:gridCol w:w="159"/>
        <w:gridCol w:w="1075"/>
        <w:gridCol w:w="75"/>
      </w:tblGrid>
      <w:tr>
        <w:trPr/>
        <w:tc>
          <w:tcPr>
            <w:tcW w:w="4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82"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Fiscal year ended</w:t>
            </w:r>
          </w:p>
        </w:tc>
        <w:tc>
          <w:tcPr>
            <w:tcW w:w="7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34" w:type="dxa"/>
            <w:gridSpan w:val="2"/>
            <w:tcBorders/>
            <w:vAlign w:val="bottom"/>
          </w:tcPr>
          <w:p>
            <w:pPr>
              <w:pStyle w:val="TableContents"/>
              <w:bidi w:val="0"/>
              <w:spacing w:before="0" w:after="283"/>
              <w:jc w:val="center"/>
              <w:rPr/>
            </w:pPr>
            <w:r>
              <w:rPr>
                <w:b/>
              </w:rPr>
              <w:t>February 3</w:t>
            </w: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34" w:type="dxa"/>
            <w:gridSpan w:val="2"/>
            <w:tcBorders/>
            <w:vAlign w:val="bottom"/>
          </w:tcPr>
          <w:p>
            <w:pPr>
              <w:pStyle w:val="TableContents"/>
              <w:bidi w:val="0"/>
              <w:spacing w:before="0" w:after="283"/>
              <w:jc w:val="center"/>
              <w:rPr/>
            </w:pPr>
            <w:r>
              <w:rPr>
                <w:b/>
              </w:rPr>
              <w:t>January 28</w:t>
            </w: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34" w:type="dxa"/>
            <w:gridSpan w:val="2"/>
            <w:tcBorders/>
            <w:vAlign w:val="bottom"/>
          </w:tcPr>
          <w:p>
            <w:pPr>
              <w:pStyle w:val="TableContents"/>
              <w:bidi w:val="0"/>
              <w:spacing w:before="0" w:after="283"/>
              <w:jc w:val="center"/>
              <w:rPr/>
            </w:pPr>
            <w:r>
              <w:rPr>
                <w:b/>
              </w:rPr>
              <w:t>January 29</w:t>
            </w:r>
            <w:r>
              <w:rPr/>
              <w:t>,</w:t>
            </w:r>
          </w:p>
        </w:tc>
        <w:tc>
          <w:tcPr>
            <w:tcW w:w="7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Net sales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2,102,662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1,827,009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1,752,995</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Cost of sales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1,270,297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1,170,915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1,071,749</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44" w:right="0" w:hanging="144"/>
              <w:jc w:val="left"/>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832,365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656,094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681,246</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562,672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490,569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447,615</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Depreciation and amortization expenses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27,819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22,907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19,364</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Pre-opening expenses</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9,675</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432" w:right="0" w:hanging="144"/>
              <w:jc w:val="left"/>
              <w:rPr>
                <w:rFonts w:ascii="Times New Roman;Times;serif" w:hAnsi="Times New Roman;Times;serif"/>
                <w:b/>
                <w:sz w:val="20"/>
              </w:rPr>
            </w:pPr>
            <w:r>
              <w:rPr>
                <w:rFonts w:ascii="Times New Roman;Times;serif" w:hAnsi="Times New Roman;Times;serif"/>
                <w:b/>
                <w:sz w:val="20"/>
              </w:rPr>
              <w:t>Operating income</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227,799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130,918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204,592</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Interest (income) expense, net</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(14,686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(2,965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209</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Income before income taxes</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242,485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133,883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204,383</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61,046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31,093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46,928</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432" w:right="0" w:hanging="144"/>
              <w:jc w:val="left"/>
              <w:rPr>
                <w:rFonts w:ascii="Times New Roman;Times;serif" w:hAnsi="Times New Roman;Times;serif"/>
                <w:b/>
                <w:sz w:val="20"/>
              </w:rPr>
            </w:pPr>
            <w:r>
              <w:rPr>
                <w:rFonts w:ascii="Times New Roman;Times;serif" w:hAnsi="Times New Roman;Times;serif"/>
                <w:b/>
                <w:sz w:val="20"/>
              </w:rPr>
              <w:t>Net income</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181,439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102,790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157,455</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44" w:right="0" w:hanging="144"/>
              <w:jc w:val="left"/>
              <w:rPr>
                <w:rFonts w:ascii="Times New Roman;Times;serif" w:hAnsi="Times New Roman;Times;serif"/>
                <w:b/>
                <w:sz w:val="20"/>
              </w:rPr>
            </w:pPr>
            <w:r>
              <w:rPr>
                <w:rFonts w:ascii="Times New Roman;Times;serif" w:hAnsi="Times New Roman;Times;serif"/>
                <w:b/>
                <w:sz w:val="20"/>
              </w:rPr>
              <w:t>Earnings per common share:</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2.44</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Diluted</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7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44" w:right="0" w:hanging="144"/>
              <w:jc w:val="left"/>
              <w:rPr>
                <w:rFonts w:ascii="Times New Roman;Times;serif" w:hAnsi="Times New Roman;Times;serif"/>
                <w:b/>
                <w:sz w:val="20"/>
              </w:rPr>
            </w:pPr>
            <w:r>
              <w:rPr>
                <w:rFonts w:ascii="Times New Roman;Times;serif" w:hAnsi="Times New Roman;Times;serif"/>
                <w:b/>
                <w:sz w:val="20"/>
              </w:rPr>
              <w:t>Weighted average common shares outstanding:</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Basic</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61,741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62,495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64,447</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62,068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62,704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64,878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See accompanying Notes to the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bookmarkStart w:id="29" w:name="BalanceSheet"/>
      <w:bookmarkEnd w:id="29"/>
      <w:r>
        <w:rPr>
          <w:rFonts w:ascii="Times New Roman;Times;serif" w:hAnsi="Times New Roman;Times;serif"/>
          <w:b/>
          <w:color w:val="000000"/>
          <w:sz w:val="20"/>
          <w:shd w:fill="FFFFFF" w:val="clear"/>
        </w:rPr>
        <w:t>OLLIE’S BARGAIN OUTLET HOLDINGS, INC. AND SUBSIDIARIES</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Consolidated Balance Sheets</w:t>
      </w:r>
      <w:bookmarkStart w:id="30" w:name="BalanceSheets"/>
      <w:bookmarkEnd w:id="30"/>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thousands, except per share amounts)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864"/>
        <w:gridCol w:w="60"/>
        <w:gridCol w:w="131"/>
        <w:gridCol w:w="885"/>
        <w:gridCol w:w="80"/>
        <w:gridCol w:w="60"/>
        <w:gridCol w:w="132"/>
        <w:gridCol w:w="896"/>
        <w:gridCol w:w="97"/>
      </w:tblGrid>
      <w:tr>
        <w:trPr/>
        <w:tc>
          <w:tcPr>
            <w:tcW w:w="78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February 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8"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January 28,</w:t>
            </w:r>
          </w:p>
        </w:tc>
        <w:tc>
          <w:tcPr>
            <w:tcW w:w="97" w:type="dxa"/>
            <w:tcBorders/>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Assets</w:t>
            </w:r>
          </w:p>
        </w:tc>
        <w:tc>
          <w:tcPr>
            <w:tcW w:w="60" w:type="dxa"/>
            <w:tcBorders/>
            <w:vAlign w:val="bottom"/>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7" w:type="dxa"/>
            <w:tcBorders/>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Current assets:</w:t>
            </w:r>
          </w:p>
        </w:tc>
        <w:tc>
          <w:tcPr>
            <w:tcW w:w="60"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8"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266,262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210,596</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288"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Short-term investments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86,980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60,165</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505,790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470,534</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2,374</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CCEEFF" w:val="clear"/>
            <w:vAlign w:val="bottom"/>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10,627</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432" w:right="0" w:hanging="144"/>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871,428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754,296</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270,063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175,947</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475,526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436,326</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444,850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444,850</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Trade name</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230,559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230,559</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CCEEFF" w:val="clear"/>
            <w:vAlign w:val="bottom"/>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2,118</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432" w:right="0" w:hanging="144"/>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2,294,594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2,044,096</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430</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128,097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90,204</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Income taxes payable</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3,056</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89,176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88,636</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Accrued expenses and other</w:t>
            </w:r>
          </w:p>
        </w:tc>
        <w:tc>
          <w:tcPr>
            <w:tcW w:w="60" w:type="dxa"/>
            <w:tcBorders/>
            <w:shd w:fill="CCEEFF" w:val="clear"/>
            <w:vAlign w:val="bottom"/>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82,895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76,959</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432" w:right="0" w:hanging="144"/>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315,551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259,285</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Revolving credit facility</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Long-term debt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858</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71,877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70,632</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Long-term operating lease liabilities</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397,912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351,251</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CCEEFF" w:val="clear"/>
            <w:vAlign w:val="bottom"/>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432" w:right="0" w:hanging="144"/>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vAlign w:val="bottom"/>
          </w:tcPr>
          <w:p>
            <w:pPr>
              <w:pStyle w:val="TableContents"/>
              <w:bidi w:val="0"/>
              <w:spacing w:before="0" w:after="283"/>
              <w:jc w:val="lef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786,362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682,027</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288" w:right="0" w:hanging="0"/>
              <w:jc w:val="left"/>
              <w:rPr>
                <w:rFonts w:ascii="Times New Roman;Times;serif" w:hAnsi="Times New Roman;Times;serif"/>
                <w:sz w:val="20"/>
              </w:rPr>
            </w:pPr>
            <w:r>
              <w:rPr>
                <w:rFonts w:ascii="Times New Roman;Times;serif" w:hAnsi="Times New Roman;Times;serif"/>
                <w:sz w:val="20"/>
              </w:rPr>
              <w:t>Preferred stock - 50,000 shares authorized at $0.001 par value; no shares issued</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288" w:right="0" w:hanging="0"/>
              <w:jc w:val="left"/>
              <w:rPr>
                <w:rFonts w:ascii="Times New Roman;Times;serif" w:hAnsi="Times New Roman;Times;serif"/>
                <w:sz w:val="20"/>
              </w:rPr>
            </w:pPr>
            <w:r>
              <w:rPr>
                <w:rFonts w:ascii="Times New Roman;Times;serif" w:hAnsi="Times New Roman;Times;serif"/>
                <w:sz w:val="20"/>
              </w:rPr>
              <w:t>Common stock - 500,000 shares authorized at $0.001 par value; 66,927 and 66,672 shares issued, respectively</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694,959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677,694</w:t>
            </w:r>
          </w:p>
        </w:tc>
        <w:tc>
          <w:tcPr>
            <w:tcW w:w="97" w:type="dxa"/>
            <w:tcBorders/>
            <w:vAlign w:val="bottom"/>
          </w:tcPr>
          <w:p>
            <w:pPr>
              <w:pStyle w:val="TableContents"/>
              <w:bidi w:val="0"/>
              <w:spacing w:before="0" w:after="283"/>
              <w:jc w:val="left"/>
              <w:rPr/>
            </w:pPr>
            <w:r>
              <w:rPr/>
              <w:t> </w:t>
            </w:r>
          </w:p>
        </w:tc>
      </w:tr>
      <w:tr>
        <w:trPr/>
        <w:tc>
          <w:tcPr>
            <w:tcW w:w="7864"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1,167,951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986,512</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288" w:right="0" w:hanging="0"/>
              <w:jc w:val="left"/>
              <w:rPr>
                <w:rFonts w:ascii="Times New Roman;Times;serif" w:hAnsi="Times New Roman;Times;serif"/>
                <w:sz w:val="20"/>
              </w:rPr>
            </w:pPr>
            <w:r>
              <w:rPr>
                <w:rFonts w:ascii="Times New Roman;Times;serif" w:hAnsi="Times New Roman;Times;serif"/>
                <w:sz w:val="20"/>
              </w:rPr>
              <w:t>Treasury - common stock, at cost; 5,473 and 4,664 shares, respectively</w:t>
            </w:r>
          </w:p>
        </w:tc>
        <w:tc>
          <w:tcPr>
            <w:tcW w:w="60" w:type="dxa"/>
            <w:tcBorders/>
            <w:vAlign w:val="bottom"/>
          </w:tcPr>
          <w:p>
            <w:pPr>
              <w:pStyle w:val="TableContents"/>
              <w:bidi w:val="0"/>
              <w:spacing w:before="0" w:after="283"/>
              <w:jc w:val="lef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(354,745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(302,204</w:t>
            </w:r>
          </w:p>
        </w:tc>
        <w:tc>
          <w:tcPr>
            <w:tcW w:w="9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864" w:type="dxa"/>
            <w:tcBorders/>
            <w:shd w:fill="CCEEFF" w:val="clear"/>
            <w:vAlign w:val="bottom"/>
          </w:tcPr>
          <w:p>
            <w:pPr>
              <w:pStyle w:val="TableContents"/>
              <w:bidi w:val="0"/>
              <w:spacing w:before="0" w:after="0"/>
              <w:ind w:left="432" w:right="0" w:hanging="144"/>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1,508,232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1,362,069</w:t>
            </w:r>
          </w:p>
        </w:tc>
        <w:tc>
          <w:tcPr>
            <w:tcW w:w="97" w:type="dxa"/>
            <w:tcBorders/>
            <w:shd w:fill="CCEEFF" w:val="clear"/>
            <w:vAlign w:val="bottom"/>
          </w:tcPr>
          <w:p>
            <w:pPr>
              <w:pStyle w:val="TableContents"/>
              <w:bidi w:val="0"/>
              <w:spacing w:before="0" w:after="283"/>
              <w:jc w:val="left"/>
              <w:rPr/>
            </w:pPr>
            <w:r>
              <w:rPr/>
              <w:t> </w:t>
            </w:r>
          </w:p>
        </w:tc>
      </w:tr>
      <w:tr>
        <w:trPr/>
        <w:tc>
          <w:tcPr>
            <w:tcW w:w="7864" w:type="dxa"/>
            <w:tcBorders/>
            <w:vAlign w:val="bottom"/>
          </w:tcPr>
          <w:p>
            <w:pPr>
              <w:pStyle w:val="TableContents"/>
              <w:bidi w:val="0"/>
              <w:spacing w:before="0" w:after="0"/>
              <w:ind w:left="432" w:right="0" w:hanging="144"/>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2,294,594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2,044,096</w:t>
            </w:r>
          </w:p>
        </w:tc>
        <w:tc>
          <w:tcPr>
            <w:tcW w:w="97"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See accompanying Notes to the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bookmarkStart w:id="31" w:name="Equity"/>
      <w:bookmarkEnd w:id="31"/>
      <w:r>
        <w:rPr>
          <w:rFonts w:ascii="Times New Roman;Times;serif" w:hAnsi="Times New Roman;Times;serif"/>
          <w:b/>
          <w:color w:val="000000"/>
          <w:sz w:val="20"/>
          <w:shd w:fill="FFFFFF" w:val="clear"/>
        </w:rPr>
        <w:t>OLLIE’S BARGAIN OUTLET HOLDINGS, INC. AND SUBSIDIARIES</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Consolidated Statements of Stockholders’ Equity</w:t>
      </w:r>
      <w:bookmarkStart w:id="32" w:name="StatementsofStockholdersE"/>
      <w:bookmarkEnd w:id="32"/>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817"/>
        <w:gridCol w:w="60"/>
        <w:gridCol w:w="65"/>
        <w:gridCol w:w="648"/>
        <w:gridCol w:w="87"/>
        <w:gridCol w:w="65"/>
        <w:gridCol w:w="244"/>
        <w:gridCol w:w="451"/>
        <w:gridCol w:w="60"/>
        <w:gridCol w:w="60"/>
        <w:gridCol w:w="60"/>
        <w:gridCol w:w="635"/>
        <w:gridCol w:w="95"/>
        <w:gridCol w:w="60"/>
        <w:gridCol w:w="125"/>
        <w:gridCol w:w="875"/>
        <w:gridCol w:w="95"/>
        <w:gridCol w:w="60"/>
        <w:gridCol w:w="140"/>
        <w:gridCol w:w="780"/>
        <w:gridCol w:w="120"/>
        <w:gridCol w:w="120"/>
        <w:gridCol w:w="125"/>
        <w:gridCol w:w="845"/>
        <w:gridCol w:w="120"/>
        <w:gridCol w:w="120"/>
        <w:gridCol w:w="140"/>
        <w:gridCol w:w="993"/>
        <w:gridCol w:w="140"/>
      </w:tblGrid>
      <w:tr>
        <w:trPr/>
        <w:tc>
          <w:tcPr>
            <w:tcW w:w="28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Treasury 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Additional</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paid-in</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capital</w:t>
            </w:r>
          </w:p>
        </w:tc>
        <w:tc>
          <w:tcPr>
            <w:tcW w:w="12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97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Retained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earnings</w:t>
            </w:r>
          </w:p>
        </w:tc>
        <w:tc>
          <w:tcPr>
            <w:tcW w:w="12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133"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stockholders’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equity</w:t>
            </w:r>
          </w:p>
        </w:tc>
        <w:tc>
          <w:tcPr>
            <w:tcW w:w="140" w:type="dxa"/>
            <w:vMerge w:val="restart"/>
            <w:tcBorders/>
            <w:vAlign w:val="bottom"/>
          </w:tcPr>
          <w:p>
            <w:pPr>
              <w:pStyle w:val="TableContents"/>
              <w:bidi w:val="0"/>
              <w:spacing w:before="0" w:after="283"/>
              <w:jc w:val="left"/>
              <w:rPr/>
            </w:pPr>
            <w:r>
              <w:rPr/>
              <w:t>  </w:t>
            </w:r>
          </w:p>
        </w:tc>
      </w:tr>
      <w:tr>
        <w:trPr/>
        <w:tc>
          <w:tcPr>
            <w:tcW w:w="28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Shares</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Amount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vMerge w:val="continue"/>
            <w:tcBorders>
              <w:bottom w:val="single" w:sz="12" w:space="0" w:color="000000"/>
            </w:tcBorders>
            <w:tcMar>
              <w:bottom w:w="28" w:type="dxa"/>
            </w:tcMar>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20" w:type="dxa"/>
            <w:vMerge w:val="continue"/>
            <w:tcBorders>
              <w:bottom w:val="single" w:sz="12" w:space="0" w:color="000000"/>
            </w:tcBorders>
            <w:tcMar>
              <w:bottom w:w="28" w:type="dxa"/>
            </w:tcMar>
            <w:vAlign w:val="bottom"/>
          </w:tcPr>
          <w:p>
            <w:pPr>
              <w:pStyle w:val="Normal"/>
              <w:bidi w:val="0"/>
              <w:jc w:val="left"/>
              <w:rPr/>
            </w:pPr>
            <w:r>
              <w:rPr/>
            </w:r>
          </w:p>
        </w:tc>
        <w:tc>
          <w:tcPr>
            <w:tcW w:w="970" w:type="dxa"/>
            <w:gridSpan w:val="2"/>
            <w:vMerge w:val="continue"/>
            <w:tcBorders/>
            <w:vAlign w:val="bottom"/>
          </w:tcPr>
          <w:p>
            <w:pPr>
              <w:pStyle w:val="Normal"/>
              <w:bidi w:val="0"/>
              <w:jc w:val="left"/>
              <w:rPr/>
            </w:pPr>
            <w:r>
              <w:rPr/>
            </w:r>
          </w:p>
        </w:tc>
        <w:tc>
          <w:tcPr>
            <w:tcW w:w="120" w:type="dxa"/>
            <w:vMerge w:val="continue"/>
            <w:tcBorders>
              <w:bottom w:val="single" w:sz="12" w:space="0" w:color="000000"/>
            </w:tcBorders>
            <w:tcMar>
              <w:bottom w:w="28" w:type="dxa"/>
            </w:tcMar>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133" w:type="dxa"/>
            <w:gridSpan w:val="2"/>
            <w:vMerge w:val="continue"/>
            <w:tcBorders>
              <w:bottom w:val="single" w:sz="12" w:space="0" w:color="000000"/>
            </w:tcBorders>
            <w:tcMar>
              <w:bottom w:w="28" w:type="dxa"/>
            </w:tcMar>
            <w:vAlign w:val="bottom"/>
          </w:tcPr>
          <w:p>
            <w:pPr>
              <w:pStyle w:val="Normal"/>
              <w:bidi w:val="0"/>
              <w:jc w:val="left"/>
              <w:rPr/>
            </w:pPr>
            <w:r>
              <w:rPr/>
            </w:r>
          </w:p>
        </w:tc>
        <w:tc>
          <w:tcPr>
            <w:tcW w:w="140" w:type="dxa"/>
            <w:vMerge w:val="continue"/>
            <w:tcBorders/>
            <w:vAlign w:val="bottom"/>
          </w:tcPr>
          <w:p>
            <w:pPr>
              <w:pStyle w:val="Normal"/>
              <w:bidi w:val="0"/>
              <w:jc w:val="left"/>
              <w:rPr/>
            </w:pPr>
            <w:r>
              <w:rPr/>
            </w:r>
          </w:p>
        </w:tc>
      </w:tr>
      <w:tr>
        <w:trPr/>
        <w:tc>
          <w:tcPr>
            <w:tcW w:w="2817" w:type="dxa"/>
            <w:tcBorders/>
            <w:shd w:fill="CCEE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Balance as of January 30, 2021</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66,165</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r>
          </w:p>
        </w:tc>
        <w:tc>
          <w:tcPr>
            <w:tcW w:w="4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r>
          </w:p>
        </w:tc>
        <w:tc>
          <w:tcPr>
            <w:tcW w:w="8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(40,401</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r>
          </w:p>
        </w:tc>
        <w:tc>
          <w:tcPr>
            <w:tcW w:w="7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648,949</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726,267</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1,334,881</w:t>
            </w:r>
          </w:p>
        </w:tc>
        <w:tc>
          <w:tcPr>
            <w:tcW w:w="140" w:type="dxa"/>
            <w:tcBorders/>
            <w:shd w:fill="CCEEFF" w:val="clear"/>
            <w:vAlign w:val="bottom"/>
          </w:tcPr>
          <w:p>
            <w:pPr>
              <w:pStyle w:val="TableContents"/>
              <w:bidi w:val="0"/>
              <w:spacing w:before="0" w:after="283"/>
              <w:jc w:val="left"/>
              <w:rPr/>
            </w:pPr>
            <w:r>
              <w:rPr/>
              <w:t> </w:t>
            </w:r>
          </w:p>
        </w:tc>
      </w:tr>
      <w:tr>
        <w:trPr/>
        <w:tc>
          <w:tcPr>
            <w:tcW w:w="2817" w:type="dxa"/>
            <w:tcBorders/>
            <w:shd w:fill="FFFF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FFFFFF" w:val="clear"/>
            <w:vAlign w:val="bottom"/>
          </w:tcPr>
          <w:p>
            <w:pPr>
              <w:pStyle w:val="TableContents"/>
              <w:bidi w:val="0"/>
              <w:spacing w:before="0" w:after="283"/>
              <w:jc w:val="right"/>
              <w:rPr/>
            </w:pPr>
            <w:r>
              <w:rPr/>
              <w:t> </w:t>
            </w:r>
          </w:p>
        </w:tc>
        <w:tc>
          <w:tcPr>
            <w:tcW w:w="65" w:type="dxa"/>
            <w:tcBorders/>
            <w:shd w:fill="FFFFFF" w:val="clear"/>
            <w:vAlign w:val="bottom"/>
          </w:tcPr>
          <w:p>
            <w:pPr>
              <w:pStyle w:val="TableContents"/>
              <w:bidi w:val="0"/>
              <w:spacing w:before="0" w:after="283"/>
              <w:jc w:val="left"/>
              <w:rPr/>
            </w:pPr>
            <w:r>
              <w:rPr/>
              <w:t> </w:t>
            </w:r>
          </w:p>
        </w:tc>
        <w:tc>
          <w:tcPr>
            <w:tcW w:w="648"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right"/>
              <w:rPr/>
            </w:pPr>
            <w:r>
              <w:rPr/>
              <w:t> </w:t>
            </w:r>
          </w:p>
        </w:tc>
        <w:tc>
          <w:tcPr>
            <w:tcW w:w="244" w:type="dxa"/>
            <w:tcBorders/>
            <w:shd w:fill="FFFFFF" w:val="clear"/>
            <w:vAlign w:val="bottom"/>
          </w:tcPr>
          <w:p>
            <w:pPr>
              <w:pStyle w:val="TableContents"/>
              <w:bidi w:val="0"/>
              <w:spacing w:before="0" w:after="283"/>
              <w:jc w:val="left"/>
              <w:rPr/>
            </w:pPr>
            <w:r>
              <w:rPr/>
              <w:t> </w:t>
            </w:r>
          </w:p>
        </w:tc>
        <w:tc>
          <w:tcPr>
            <w:tcW w:w="451"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3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7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78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8,042</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993"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8,042</w:t>
            </w:r>
          </w:p>
        </w:tc>
        <w:tc>
          <w:tcPr>
            <w:tcW w:w="140" w:type="dxa"/>
            <w:tcBorders/>
            <w:shd w:fill="FFFFFF" w:val="clear"/>
            <w:vAlign w:val="bottom"/>
          </w:tcPr>
          <w:p>
            <w:pPr>
              <w:pStyle w:val="TableContents"/>
              <w:bidi w:val="0"/>
              <w:spacing w:before="0" w:after="283"/>
              <w:jc w:val="left"/>
              <w:rPr/>
            </w:pPr>
            <w:r>
              <w:rPr/>
              <w:t> </w:t>
            </w:r>
          </w:p>
        </w:tc>
      </w:tr>
      <w:tr>
        <w:trPr/>
        <w:tc>
          <w:tcPr>
            <w:tcW w:w="2817"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Proceeds from stock options exercised</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305</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8,634</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8,635</w:t>
            </w:r>
          </w:p>
        </w:tc>
        <w:tc>
          <w:tcPr>
            <w:tcW w:w="140" w:type="dxa"/>
            <w:tcBorders/>
            <w:shd w:fill="CCEEFF" w:val="clear"/>
            <w:vAlign w:val="bottom"/>
          </w:tcPr>
          <w:p>
            <w:pPr>
              <w:pStyle w:val="TableContents"/>
              <w:bidi w:val="0"/>
              <w:spacing w:before="0" w:after="283"/>
              <w:jc w:val="left"/>
              <w:rPr/>
            </w:pPr>
            <w:r>
              <w:rPr/>
              <w:t> </w:t>
            </w:r>
          </w:p>
        </w:tc>
      </w:tr>
      <w:tr>
        <w:trPr/>
        <w:tc>
          <w:tcPr>
            <w:tcW w:w="2817" w:type="dxa"/>
            <w:tcBorders/>
            <w:shd w:fill="FFFF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Vesting of restricted stock</w:t>
            </w:r>
          </w:p>
        </w:tc>
        <w:tc>
          <w:tcPr>
            <w:tcW w:w="60" w:type="dxa"/>
            <w:tcBorders/>
            <w:shd w:fill="FFFFFF" w:val="clear"/>
            <w:vAlign w:val="bottom"/>
          </w:tcPr>
          <w:p>
            <w:pPr>
              <w:pStyle w:val="TableContents"/>
              <w:bidi w:val="0"/>
              <w:spacing w:before="0" w:after="283"/>
              <w:jc w:val="right"/>
              <w:rPr/>
            </w:pPr>
            <w:r>
              <w:rPr/>
              <w:t> </w:t>
            </w:r>
          </w:p>
        </w:tc>
        <w:tc>
          <w:tcPr>
            <w:tcW w:w="65" w:type="dxa"/>
            <w:tcBorders/>
            <w:shd w:fill="FFFFFF" w:val="clear"/>
            <w:vAlign w:val="bottom"/>
          </w:tcPr>
          <w:p>
            <w:pPr>
              <w:pStyle w:val="TableContents"/>
              <w:bidi w:val="0"/>
              <w:spacing w:before="0" w:after="283"/>
              <w:jc w:val="left"/>
              <w:rPr/>
            </w:pPr>
            <w:r>
              <w:rPr/>
              <w:t> </w:t>
            </w:r>
          </w:p>
        </w:tc>
        <w:tc>
          <w:tcPr>
            <w:tcW w:w="648"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w:t>
            </w:r>
          </w:p>
        </w:tc>
        <w:tc>
          <w:tcPr>
            <w:tcW w:w="87"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right"/>
              <w:rPr/>
            </w:pPr>
            <w:r>
              <w:rPr/>
              <w:t> </w:t>
            </w:r>
          </w:p>
        </w:tc>
        <w:tc>
          <w:tcPr>
            <w:tcW w:w="244" w:type="dxa"/>
            <w:tcBorders/>
            <w:shd w:fill="FFFFFF" w:val="clear"/>
            <w:vAlign w:val="bottom"/>
          </w:tcPr>
          <w:p>
            <w:pPr>
              <w:pStyle w:val="TableContents"/>
              <w:bidi w:val="0"/>
              <w:spacing w:before="0" w:after="283"/>
              <w:jc w:val="left"/>
              <w:rPr/>
            </w:pPr>
            <w:r>
              <w:rPr/>
              <w:t> </w:t>
            </w:r>
          </w:p>
        </w:tc>
        <w:tc>
          <w:tcPr>
            <w:tcW w:w="451"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3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7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78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993"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40" w:type="dxa"/>
            <w:tcBorders/>
            <w:shd w:fill="FFFFFF" w:val="clear"/>
            <w:vAlign w:val="bottom"/>
          </w:tcPr>
          <w:p>
            <w:pPr>
              <w:pStyle w:val="TableContents"/>
              <w:bidi w:val="0"/>
              <w:spacing w:before="0" w:after="283"/>
              <w:jc w:val="left"/>
              <w:rPr/>
            </w:pPr>
            <w:r>
              <w:rPr/>
              <w:t> </w:t>
            </w:r>
          </w:p>
        </w:tc>
      </w:tr>
      <w:tr>
        <w:trPr/>
        <w:tc>
          <w:tcPr>
            <w:tcW w:w="2817"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Common shares withheld for taxes</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w:t>
            </w:r>
          </w:p>
        </w:tc>
        <w:tc>
          <w:tcPr>
            <w:tcW w:w="8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(1,332</w:t>
            </w:r>
          </w:p>
        </w:tc>
        <w:tc>
          <w:tcPr>
            <w:tcW w:w="12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(1,332</w:t>
            </w:r>
          </w:p>
        </w:tc>
        <w:tc>
          <w:tcPr>
            <w:tcW w:w="14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17" w:type="dxa"/>
            <w:tcBorders/>
            <w:shd w:fill="FFFFFF" w:val="clear"/>
            <w:vAlign w:val="bottom"/>
          </w:tcPr>
          <w:p>
            <w:pPr>
              <w:pStyle w:val="TableContents"/>
              <w:bidi w:val="0"/>
              <w:spacing w:before="0" w:after="283"/>
              <w:jc w:val="left"/>
              <w:rPr/>
            </w:pPr>
            <w:r>
              <w:rPr/>
              <w:t>Shares repurchased</w:t>
            </w:r>
          </w:p>
        </w:tc>
        <w:tc>
          <w:tcPr>
            <w:tcW w:w="60" w:type="dxa"/>
            <w:tcBorders/>
            <w:shd w:fill="FFFFFF" w:val="clear"/>
            <w:vAlign w:val="bottom"/>
          </w:tcPr>
          <w:p>
            <w:pPr>
              <w:pStyle w:val="TableContents"/>
              <w:bidi w:val="0"/>
              <w:spacing w:before="0" w:after="283"/>
              <w:jc w:val="right"/>
              <w:rPr/>
            </w:pPr>
            <w:r>
              <w:rPr/>
              <w:t> </w:t>
            </w:r>
          </w:p>
        </w:tc>
        <w:tc>
          <w:tcPr>
            <w:tcW w:w="65" w:type="dxa"/>
            <w:tcBorders/>
            <w:shd w:fill="FFFFFF" w:val="clear"/>
            <w:vAlign w:val="bottom"/>
          </w:tcPr>
          <w:p>
            <w:pPr>
              <w:pStyle w:val="TableContents"/>
              <w:bidi w:val="0"/>
              <w:spacing w:before="0" w:after="283"/>
              <w:jc w:val="left"/>
              <w:rPr/>
            </w:pPr>
            <w:r>
              <w:rPr/>
              <w:t> </w:t>
            </w:r>
          </w:p>
        </w:tc>
        <w:tc>
          <w:tcPr>
            <w:tcW w:w="648" w:type="dxa"/>
            <w:tcBorders/>
            <w:shd w:fill="FFFFFF" w:val="clear"/>
            <w:vAlign w:val="bottom"/>
          </w:tcPr>
          <w:p>
            <w:pPr>
              <w:pStyle w:val="TableContents"/>
              <w:bidi w:val="0"/>
              <w:spacing w:before="0" w:after="283"/>
              <w:jc w:val="right"/>
              <w:rPr/>
            </w:pPr>
            <w:r>
              <w:rPr/>
              <w:t>-</w:t>
            </w:r>
          </w:p>
        </w:tc>
        <w:tc>
          <w:tcPr>
            <w:tcW w:w="87"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right"/>
              <w:rPr/>
            </w:pPr>
            <w:r>
              <w:rPr/>
              <w:t> </w:t>
            </w:r>
          </w:p>
        </w:tc>
        <w:tc>
          <w:tcPr>
            <w:tcW w:w="244" w:type="dxa"/>
            <w:tcBorders/>
            <w:shd w:fill="FFFFFF" w:val="clear"/>
            <w:vAlign w:val="bottom"/>
          </w:tcPr>
          <w:p>
            <w:pPr>
              <w:pStyle w:val="TableContents"/>
              <w:bidi w:val="0"/>
              <w:spacing w:before="0" w:after="283"/>
              <w:jc w:val="left"/>
              <w:rPr/>
            </w:pPr>
            <w:r>
              <w:rPr/>
              <w:t> </w:t>
            </w:r>
          </w:p>
        </w:tc>
        <w:tc>
          <w:tcPr>
            <w:tcW w:w="451" w:type="dxa"/>
            <w:tcBorders/>
            <w:shd w:fill="FFFFFF" w:val="clear"/>
            <w:vAlign w:val="bottom"/>
          </w:tcPr>
          <w:p>
            <w:pPr>
              <w:pStyle w:val="TableContents"/>
              <w:bidi w:val="0"/>
              <w:spacing w:before="0" w:after="283"/>
              <w:jc w:val="right"/>
              <w:rPr/>
            </w:pPr>
            <w:r>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35" w:type="dxa"/>
            <w:tcBorders/>
            <w:shd w:fill="FFFFFF" w:val="clear"/>
            <w:vAlign w:val="bottom"/>
          </w:tcPr>
          <w:p>
            <w:pPr>
              <w:pStyle w:val="TableContents"/>
              <w:bidi w:val="0"/>
              <w:spacing w:before="0" w:after="283"/>
              <w:jc w:val="right"/>
              <w:rPr/>
            </w:pPr>
            <w:r>
              <w:rPr/>
              <w:t>(3,114</w:t>
            </w:r>
          </w:p>
        </w:tc>
        <w:tc>
          <w:tcPr>
            <w:tcW w:w="95" w:type="dxa"/>
            <w:tcBorders/>
            <w:shd w:fill="FFFFFF" w:val="clear"/>
            <w:vAlign w:val="bottom"/>
          </w:tcPr>
          <w:p>
            <w:pPr>
              <w:pStyle w:val="TableContents"/>
              <w:bidi w:val="0"/>
              <w:spacing w:before="0" w:after="283"/>
              <w:jc w:val="left"/>
              <w:rPr/>
            </w:pPr>
            <w:r>
              <w:rPr/>
              <w:t>)</w:t>
            </w:r>
          </w:p>
        </w:tc>
        <w:tc>
          <w:tcPr>
            <w:tcW w:w="6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75" w:type="dxa"/>
            <w:tcBorders/>
            <w:shd w:fill="FFFFFF" w:val="clear"/>
            <w:vAlign w:val="bottom"/>
          </w:tcPr>
          <w:p>
            <w:pPr>
              <w:pStyle w:val="TableContents"/>
              <w:bidi w:val="0"/>
              <w:spacing w:before="0" w:after="283"/>
              <w:jc w:val="right"/>
              <w:rPr/>
            </w:pPr>
            <w:r>
              <w:rPr/>
              <w:t>(219,971</w:t>
            </w:r>
          </w:p>
        </w:tc>
        <w:tc>
          <w:tcPr>
            <w:tcW w:w="95" w:type="dxa"/>
            <w:tcBorders/>
            <w:shd w:fill="FFFFFF" w:val="clear"/>
            <w:vAlign w:val="bottom"/>
          </w:tcPr>
          <w:p>
            <w:pPr>
              <w:pStyle w:val="TableContents"/>
              <w:bidi w:val="0"/>
              <w:spacing w:before="0" w:after="283"/>
              <w:jc w:val="left"/>
              <w:rPr/>
            </w:pPr>
            <w:r>
              <w:rPr/>
              <w:t>)</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780" w:type="dxa"/>
            <w:tcBorders/>
            <w:shd w:fill="FFFFFF" w:val="clear"/>
            <w:vAlign w:val="bottom"/>
          </w:tcPr>
          <w:p>
            <w:pPr>
              <w:pStyle w:val="TableContents"/>
              <w:bidi w:val="0"/>
              <w:spacing w:before="0" w:after="283"/>
              <w:jc w:val="right"/>
              <w:rPr/>
            </w:pPr>
            <w:r>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993" w:type="dxa"/>
            <w:tcBorders/>
            <w:shd w:fill="FFFFFF" w:val="clear"/>
            <w:vAlign w:val="bottom"/>
          </w:tcPr>
          <w:p>
            <w:pPr>
              <w:pStyle w:val="TableContents"/>
              <w:bidi w:val="0"/>
              <w:spacing w:before="0" w:after="283"/>
              <w:jc w:val="right"/>
              <w:rPr/>
            </w:pPr>
            <w:r>
              <w:rPr/>
              <w:t>(219,971</w:t>
            </w:r>
          </w:p>
        </w:tc>
        <w:tc>
          <w:tcPr>
            <w:tcW w:w="140" w:type="dxa"/>
            <w:tcBorders/>
            <w:shd w:fill="FFFFFF" w:val="clear"/>
            <w:vAlign w:val="bottom"/>
          </w:tcPr>
          <w:p>
            <w:pPr>
              <w:pStyle w:val="TableContents"/>
              <w:bidi w:val="0"/>
              <w:spacing w:before="0" w:after="283"/>
              <w:jc w:val="left"/>
              <w:rPr/>
            </w:pPr>
            <w:r>
              <w:rPr/>
              <w:t>)</w:t>
            </w:r>
          </w:p>
        </w:tc>
      </w:tr>
      <w:tr>
        <w:trPr/>
        <w:tc>
          <w:tcPr>
            <w:tcW w:w="2817"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bottom"/>
          </w:tcPr>
          <w:p>
            <w:pPr>
              <w:pStyle w:val="TableContents"/>
              <w:bidi w:val="0"/>
              <w:spacing w:before="0" w:after="283"/>
              <w:jc w:val="righ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5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157,455</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157,455</w:t>
            </w:r>
          </w:p>
        </w:tc>
        <w:tc>
          <w:tcPr>
            <w:tcW w:w="140" w:type="dxa"/>
            <w:tcBorders/>
            <w:shd w:fill="CCEEFF" w:val="clear"/>
            <w:vAlign w:val="bottom"/>
          </w:tcPr>
          <w:p>
            <w:pPr>
              <w:pStyle w:val="TableContents"/>
              <w:bidi w:val="0"/>
              <w:spacing w:before="0" w:after="283"/>
              <w:jc w:val="left"/>
              <w:rPr/>
            </w:pPr>
            <w:r>
              <w:rPr/>
              <w:t> </w:t>
            </w:r>
          </w:p>
        </w:tc>
      </w:tr>
      <w:tr>
        <w:trPr/>
        <w:tc>
          <w:tcPr>
            <w:tcW w:w="2817" w:type="dxa"/>
            <w:tcBorders/>
            <w:shd w:fill="FFFF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Balance as of January 29, 2022</w:t>
            </w:r>
          </w:p>
        </w:tc>
        <w:tc>
          <w:tcPr>
            <w:tcW w:w="60" w:type="dxa"/>
            <w:tcBorders/>
            <w:shd w:fill="FFFFFF" w:val="clear"/>
            <w:vAlign w:val="bottom"/>
          </w:tcPr>
          <w:p>
            <w:pPr>
              <w:pStyle w:val="TableContents"/>
              <w:bidi w:val="0"/>
              <w:spacing w:before="0" w:after="283"/>
              <w:jc w:val="right"/>
              <w:rPr/>
            </w:pPr>
            <w:r>
              <w:rPr/>
              <w:t> </w:t>
            </w:r>
          </w:p>
        </w:tc>
        <w:tc>
          <w:tcPr>
            <w:tcW w:w="65" w:type="dxa"/>
            <w:tcBorders/>
            <w:shd w:fill="FFFFFF" w:val="clear"/>
            <w:vAlign w:val="bottom"/>
          </w:tcPr>
          <w:p>
            <w:pPr>
              <w:pStyle w:val="TableContents"/>
              <w:bidi w:val="0"/>
              <w:spacing w:before="0" w:after="283"/>
              <w:jc w:val="left"/>
              <w:rPr/>
            </w:pPr>
            <w:r>
              <w:rPr/>
              <w:t> </w:t>
            </w:r>
          </w:p>
        </w:tc>
        <w:tc>
          <w:tcPr>
            <w:tcW w:w="648"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66,516</w:t>
            </w:r>
          </w:p>
        </w:tc>
        <w:tc>
          <w:tcPr>
            <w:tcW w:w="87"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right"/>
              <w:rPr/>
            </w:pPr>
            <w:r>
              <w:rPr/>
              <w:t> </w:t>
            </w:r>
          </w:p>
        </w:tc>
        <w:tc>
          <w:tcPr>
            <w:tcW w:w="244" w:type="dxa"/>
            <w:tcBorders/>
            <w:shd w:fill="FFFFFF" w:val="clear"/>
            <w:vAlign w:val="bottom"/>
          </w:tcPr>
          <w:p>
            <w:pPr>
              <w:pStyle w:val="TableContents"/>
              <w:bidi w:val="0"/>
              <w:spacing w:before="0" w:after="283"/>
              <w:jc w:val="left"/>
              <w:rPr/>
            </w:pPr>
            <w:r>
              <w:rPr/>
              <w:t> </w:t>
            </w:r>
          </w:p>
        </w:tc>
        <w:tc>
          <w:tcPr>
            <w:tcW w:w="451"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3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(3,816</w:t>
            </w:r>
          </w:p>
        </w:tc>
        <w:tc>
          <w:tcPr>
            <w:tcW w:w="9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7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(260,372</w:t>
            </w:r>
          </w:p>
        </w:tc>
        <w:tc>
          <w:tcPr>
            <w:tcW w:w="9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78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664,293</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883,722</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993"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1,287,710</w:t>
            </w:r>
          </w:p>
        </w:tc>
        <w:tc>
          <w:tcPr>
            <w:tcW w:w="140" w:type="dxa"/>
            <w:tcBorders/>
            <w:shd w:fill="FFFFFF" w:val="clear"/>
            <w:vAlign w:val="bottom"/>
          </w:tcPr>
          <w:p>
            <w:pPr>
              <w:pStyle w:val="TableContents"/>
              <w:bidi w:val="0"/>
              <w:spacing w:before="0" w:after="283"/>
              <w:jc w:val="left"/>
              <w:rPr/>
            </w:pPr>
            <w:r>
              <w:rPr/>
              <w:t> </w:t>
            </w:r>
          </w:p>
        </w:tc>
      </w:tr>
      <w:tr>
        <w:trPr/>
        <w:tc>
          <w:tcPr>
            <w:tcW w:w="2817"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9,951</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9,951</w:t>
            </w:r>
          </w:p>
        </w:tc>
        <w:tc>
          <w:tcPr>
            <w:tcW w:w="140" w:type="dxa"/>
            <w:tcBorders/>
            <w:shd w:fill="CCEEFF" w:val="clear"/>
            <w:vAlign w:val="bottom"/>
          </w:tcPr>
          <w:p>
            <w:pPr>
              <w:pStyle w:val="TableContents"/>
              <w:bidi w:val="0"/>
              <w:spacing w:before="0" w:after="283"/>
              <w:jc w:val="left"/>
              <w:rPr/>
            </w:pPr>
            <w:r>
              <w:rPr/>
              <w:t> </w:t>
            </w:r>
          </w:p>
        </w:tc>
      </w:tr>
      <w:tr>
        <w:trPr/>
        <w:tc>
          <w:tcPr>
            <w:tcW w:w="2817" w:type="dxa"/>
            <w:tcBorders/>
            <w:shd w:fill="FFFF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Proceeds from stock options exercised</w:t>
            </w:r>
          </w:p>
        </w:tc>
        <w:tc>
          <w:tcPr>
            <w:tcW w:w="60" w:type="dxa"/>
            <w:tcBorders/>
            <w:shd w:fill="FFFFFF" w:val="clear"/>
            <w:vAlign w:val="bottom"/>
          </w:tcPr>
          <w:p>
            <w:pPr>
              <w:pStyle w:val="TableContents"/>
              <w:bidi w:val="0"/>
              <w:spacing w:before="0" w:after="283"/>
              <w:jc w:val="right"/>
              <w:rPr/>
            </w:pPr>
            <w:r>
              <w:rPr/>
              <w:t> </w:t>
            </w:r>
          </w:p>
        </w:tc>
        <w:tc>
          <w:tcPr>
            <w:tcW w:w="65" w:type="dxa"/>
            <w:tcBorders/>
            <w:shd w:fill="FFFFFF" w:val="clear"/>
            <w:vAlign w:val="bottom"/>
          </w:tcPr>
          <w:p>
            <w:pPr>
              <w:pStyle w:val="TableContents"/>
              <w:bidi w:val="0"/>
              <w:spacing w:before="0" w:after="283"/>
              <w:jc w:val="left"/>
              <w:rPr/>
            </w:pPr>
            <w:r>
              <w:rPr/>
              <w:t> </w:t>
            </w:r>
          </w:p>
        </w:tc>
        <w:tc>
          <w:tcPr>
            <w:tcW w:w="648"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w:t>
            </w:r>
          </w:p>
        </w:tc>
        <w:tc>
          <w:tcPr>
            <w:tcW w:w="87"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right"/>
              <w:rPr/>
            </w:pPr>
            <w:r>
              <w:rPr/>
              <w:t> </w:t>
            </w:r>
          </w:p>
        </w:tc>
        <w:tc>
          <w:tcPr>
            <w:tcW w:w="244" w:type="dxa"/>
            <w:tcBorders/>
            <w:shd w:fill="FFFFFF" w:val="clear"/>
            <w:vAlign w:val="bottom"/>
          </w:tcPr>
          <w:p>
            <w:pPr>
              <w:pStyle w:val="TableContents"/>
              <w:bidi w:val="0"/>
              <w:spacing w:before="0" w:after="283"/>
              <w:jc w:val="left"/>
              <w:rPr/>
            </w:pPr>
            <w:r>
              <w:rPr/>
              <w:t> </w:t>
            </w:r>
          </w:p>
        </w:tc>
        <w:tc>
          <w:tcPr>
            <w:tcW w:w="451"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3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7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78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4,032</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993"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4,032</w:t>
            </w:r>
          </w:p>
        </w:tc>
        <w:tc>
          <w:tcPr>
            <w:tcW w:w="140" w:type="dxa"/>
            <w:tcBorders/>
            <w:shd w:fill="FFFFFF" w:val="clear"/>
            <w:vAlign w:val="bottom"/>
          </w:tcPr>
          <w:p>
            <w:pPr>
              <w:pStyle w:val="TableContents"/>
              <w:bidi w:val="0"/>
              <w:spacing w:before="0" w:after="283"/>
              <w:jc w:val="left"/>
              <w:rPr/>
            </w:pPr>
            <w:r>
              <w:rPr/>
              <w:t> </w:t>
            </w:r>
          </w:p>
        </w:tc>
      </w:tr>
      <w:tr>
        <w:trPr/>
        <w:tc>
          <w:tcPr>
            <w:tcW w:w="2817"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Vesting of restricted stock</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40" w:type="dxa"/>
            <w:tcBorders/>
            <w:shd w:fill="CCEEFF" w:val="clear"/>
            <w:vAlign w:val="bottom"/>
          </w:tcPr>
          <w:p>
            <w:pPr>
              <w:pStyle w:val="TableContents"/>
              <w:bidi w:val="0"/>
              <w:spacing w:before="0" w:after="283"/>
              <w:jc w:val="left"/>
              <w:rPr/>
            </w:pPr>
            <w:r>
              <w:rPr/>
              <w:t> </w:t>
            </w:r>
          </w:p>
        </w:tc>
      </w:tr>
      <w:tr>
        <w:trPr/>
        <w:tc>
          <w:tcPr>
            <w:tcW w:w="2817" w:type="dxa"/>
            <w:tcBorders/>
            <w:shd w:fill="FFFF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Common shares withheld for taxes</w:t>
            </w:r>
          </w:p>
        </w:tc>
        <w:tc>
          <w:tcPr>
            <w:tcW w:w="60" w:type="dxa"/>
            <w:tcBorders/>
            <w:shd w:fill="FFFFFF" w:val="clear"/>
            <w:vAlign w:val="bottom"/>
          </w:tcPr>
          <w:p>
            <w:pPr>
              <w:pStyle w:val="TableContents"/>
              <w:bidi w:val="0"/>
              <w:spacing w:before="0" w:after="283"/>
              <w:jc w:val="right"/>
              <w:rPr/>
            </w:pPr>
            <w:r>
              <w:rPr/>
              <w:t> </w:t>
            </w:r>
          </w:p>
        </w:tc>
        <w:tc>
          <w:tcPr>
            <w:tcW w:w="65" w:type="dxa"/>
            <w:tcBorders/>
            <w:shd w:fill="FFFFFF" w:val="clear"/>
            <w:vAlign w:val="bottom"/>
          </w:tcPr>
          <w:p>
            <w:pPr>
              <w:pStyle w:val="TableContents"/>
              <w:bidi w:val="0"/>
              <w:spacing w:before="0" w:after="283"/>
              <w:jc w:val="left"/>
              <w:rPr/>
            </w:pPr>
            <w:r>
              <w:rPr/>
              <w:t> </w:t>
            </w:r>
          </w:p>
        </w:tc>
        <w:tc>
          <w:tcPr>
            <w:tcW w:w="648"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87"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bottom"/>
          </w:tcPr>
          <w:p>
            <w:pPr>
              <w:pStyle w:val="TableContents"/>
              <w:bidi w:val="0"/>
              <w:spacing w:before="0" w:after="283"/>
              <w:jc w:val="right"/>
              <w:rPr/>
            </w:pPr>
            <w:r>
              <w:rPr/>
              <w:t> </w:t>
            </w:r>
          </w:p>
        </w:tc>
        <w:tc>
          <w:tcPr>
            <w:tcW w:w="244" w:type="dxa"/>
            <w:tcBorders/>
            <w:shd w:fill="FFFFFF" w:val="clear"/>
            <w:vAlign w:val="bottom"/>
          </w:tcPr>
          <w:p>
            <w:pPr>
              <w:pStyle w:val="TableContents"/>
              <w:bidi w:val="0"/>
              <w:spacing w:before="0" w:after="283"/>
              <w:jc w:val="left"/>
              <w:rPr/>
            </w:pPr>
            <w:r>
              <w:rPr/>
              <w:t> </w:t>
            </w:r>
          </w:p>
        </w:tc>
        <w:tc>
          <w:tcPr>
            <w:tcW w:w="451"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3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7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78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(582</w:t>
            </w:r>
          </w:p>
        </w:tc>
        <w:tc>
          <w:tcPr>
            <w:tcW w:w="12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993"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(582</w:t>
            </w:r>
          </w:p>
        </w:tc>
        <w:tc>
          <w:tcPr>
            <w:tcW w:w="14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17"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Shares repurchased</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(848</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(41,832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(41,832</w:t>
            </w:r>
          </w:p>
        </w:tc>
        <w:tc>
          <w:tcPr>
            <w:tcW w:w="14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17" w:type="dxa"/>
            <w:tcBorders/>
            <w:shd w:fill="FFFF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bottom"/>
          </w:tcPr>
          <w:p>
            <w:pPr>
              <w:pStyle w:val="TableContents"/>
              <w:bidi w:val="0"/>
              <w:spacing w:before="0" w:after="283"/>
              <w:jc w:val="right"/>
              <w:rPr/>
            </w:pPr>
            <w:r>
              <w:rPr/>
              <w:t> </w:t>
            </w:r>
          </w:p>
        </w:tc>
        <w:tc>
          <w:tcPr>
            <w:tcW w:w="6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right"/>
              <w:rPr/>
            </w:pPr>
            <w:r>
              <w:rPr/>
              <w:t> </w:t>
            </w:r>
          </w:p>
        </w:tc>
        <w:tc>
          <w:tcPr>
            <w:tcW w:w="244"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451"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102,790</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102,790</w:t>
            </w:r>
          </w:p>
        </w:tc>
        <w:tc>
          <w:tcPr>
            <w:tcW w:w="140" w:type="dxa"/>
            <w:tcBorders/>
            <w:shd w:fill="FFFFFF" w:val="clear"/>
            <w:vAlign w:val="bottom"/>
          </w:tcPr>
          <w:p>
            <w:pPr>
              <w:pStyle w:val="TableContents"/>
              <w:bidi w:val="0"/>
              <w:spacing w:before="0" w:after="283"/>
              <w:jc w:val="left"/>
              <w:rPr/>
            </w:pPr>
            <w:r>
              <w:rPr/>
              <w:t> </w:t>
            </w:r>
          </w:p>
        </w:tc>
      </w:tr>
      <w:tr>
        <w:trPr/>
        <w:tc>
          <w:tcPr>
            <w:tcW w:w="2817" w:type="dxa"/>
            <w:tcBorders/>
            <w:shd w:fill="CCEE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Balance as of January 28, 2023</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66,672</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(4,664</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(302,204</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677,694</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986,512</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1,362,069</w:t>
            </w:r>
          </w:p>
        </w:tc>
        <w:tc>
          <w:tcPr>
            <w:tcW w:w="140" w:type="dxa"/>
            <w:tcBorders/>
            <w:shd w:fill="CCEEFF" w:val="clear"/>
            <w:vAlign w:val="bottom"/>
          </w:tcPr>
          <w:p>
            <w:pPr>
              <w:pStyle w:val="TableContents"/>
              <w:bidi w:val="0"/>
              <w:spacing w:before="0" w:after="283"/>
              <w:jc w:val="left"/>
              <w:rPr/>
            </w:pPr>
            <w:r>
              <w:rPr/>
              <w:t> </w:t>
            </w:r>
          </w:p>
        </w:tc>
      </w:tr>
      <w:tr>
        <w:trPr/>
        <w:tc>
          <w:tcPr>
            <w:tcW w:w="2817" w:type="dxa"/>
            <w:tcBorders/>
            <w:shd w:fill="FFFF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FFFFFF" w:val="clear"/>
            <w:vAlign w:val="bottom"/>
          </w:tcPr>
          <w:p>
            <w:pPr>
              <w:pStyle w:val="TableContents"/>
              <w:bidi w:val="0"/>
              <w:spacing w:before="0" w:after="283"/>
              <w:jc w:val="right"/>
              <w:rPr/>
            </w:pPr>
            <w:r>
              <w:rPr/>
              <w:t> </w:t>
            </w:r>
          </w:p>
        </w:tc>
        <w:tc>
          <w:tcPr>
            <w:tcW w:w="65" w:type="dxa"/>
            <w:tcBorders/>
            <w:shd w:fill="FFFFFF" w:val="clear"/>
            <w:vAlign w:val="bottom"/>
          </w:tcPr>
          <w:p>
            <w:pPr>
              <w:pStyle w:val="TableContents"/>
              <w:bidi w:val="0"/>
              <w:spacing w:before="0" w:after="283"/>
              <w:jc w:val="left"/>
              <w:rPr/>
            </w:pPr>
            <w:r>
              <w:rPr/>
              <w:t> </w:t>
            </w:r>
          </w:p>
        </w:tc>
        <w:tc>
          <w:tcPr>
            <w:tcW w:w="648"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right"/>
              <w:rPr/>
            </w:pPr>
            <w:r>
              <w:rPr/>
              <w:t> </w:t>
            </w:r>
          </w:p>
        </w:tc>
        <w:tc>
          <w:tcPr>
            <w:tcW w:w="244" w:type="dxa"/>
            <w:tcBorders/>
            <w:shd w:fill="FFFFFF" w:val="clear"/>
            <w:vAlign w:val="bottom"/>
          </w:tcPr>
          <w:p>
            <w:pPr>
              <w:pStyle w:val="TableContents"/>
              <w:bidi w:val="0"/>
              <w:spacing w:before="0" w:after="283"/>
              <w:jc w:val="left"/>
              <w:rPr/>
            </w:pPr>
            <w:r>
              <w:rPr/>
              <w:t> </w:t>
            </w:r>
          </w:p>
        </w:tc>
        <w:tc>
          <w:tcPr>
            <w:tcW w:w="451"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3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7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78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12,237</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993"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12,237</w:t>
            </w:r>
          </w:p>
        </w:tc>
        <w:tc>
          <w:tcPr>
            <w:tcW w:w="140" w:type="dxa"/>
            <w:tcBorders/>
            <w:shd w:fill="FFFFFF" w:val="clear"/>
            <w:vAlign w:val="bottom"/>
          </w:tcPr>
          <w:p>
            <w:pPr>
              <w:pStyle w:val="TableContents"/>
              <w:bidi w:val="0"/>
              <w:spacing w:before="0" w:after="283"/>
              <w:jc w:val="left"/>
              <w:rPr/>
            </w:pPr>
            <w:r>
              <w:rPr/>
              <w:t> </w:t>
            </w:r>
          </w:p>
        </w:tc>
      </w:tr>
      <w:tr>
        <w:trPr/>
        <w:tc>
          <w:tcPr>
            <w:tcW w:w="2817"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Proceeds from stock options exercised</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180</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6,686</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6,686</w:t>
            </w:r>
          </w:p>
        </w:tc>
        <w:tc>
          <w:tcPr>
            <w:tcW w:w="140" w:type="dxa"/>
            <w:tcBorders/>
            <w:shd w:fill="CCEEFF" w:val="clear"/>
            <w:vAlign w:val="bottom"/>
          </w:tcPr>
          <w:p>
            <w:pPr>
              <w:pStyle w:val="TableContents"/>
              <w:bidi w:val="0"/>
              <w:spacing w:before="0" w:after="283"/>
              <w:jc w:val="left"/>
              <w:rPr/>
            </w:pPr>
            <w:r>
              <w:rPr/>
              <w:t> </w:t>
            </w:r>
          </w:p>
        </w:tc>
      </w:tr>
      <w:tr>
        <w:trPr/>
        <w:tc>
          <w:tcPr>
            <w:tcW w:w="2817" w:type="dxa"/>
            <w:tcBorders/>
            <w:shd w:fill="FFFF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Vesting of restricted stock</w:t>
            </w:r>
          </w:p>
        </w:tc>
        <w:tc>
          <w:tcPr>
            <w:tcW w:w="60" w:type="dxa"/>
            <w:tcBorders/>
            <w:shd w:fill="FFFFFF" w:val="clear"/>
            <w:vAlign w:val="bottom"/>
          </w:tcPr>
          <w:p>
            <w:pPr>
              <w:pStyle w:val="TableContents"/>
              <w:bidi w:val="0"/>
              <w:spacing w:before="0" w:after="283"/>
              <w:jc w:val="right"/>
              <w:rPr/>
            </w:pPr>
            <w:r>
              <w:rPr/>
              <w:t> </w:t>
            </w:r>
          </w:p>
        </w:tc>
        <w:tc>
          <w:tcPr>
            <w:tcW w:w="65" w:type="dxa"/>
            <w:tcBorders/>
            <w:shd w:fill="FFFFFF" w:val="clear"/>
            <w:vAlign w:val="bottom"/>
          </w:tcPr>
          <w:p>
            <w:pPr>
              <w:pStyle w:val="TableContents"/>
              <w:bidi w:val="0"/>
              <w:spacing w:before="0" w:after="283"/>
              <w:jc w:val="left"/>
              <w:rPr/>
            </w:pPr>
            <w:r>
              <w:rPr/>
              <w:t> </w:t>
            </w:r>
          </w:p>
        </w:tc>
        <w:tc>
          <w:tcPr>
            <w:tcW w:w="648"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w:t>
            </w:r>
          </w:p>
        </w:tc>
        <w:tc>
          <w:tcPr>
            <w:tcW w:w="87"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right"/>
              <w:rPr/>
            </w:pPr>
            <w:r>
              <w:rPr/>
              <w:t> </w:t>
            </w:r>
          </w:p>
        </w:tc>
        <w:tc>
          <w:tcPr>
            <w:tcW w:w="244" w:type="dxa"/>
            <w:tcBorders/>
            <w:shd w:fill="FFFFFF" w:val="clear"/>
            <w:vAlign w:val="bottom"/>
          </w:tcPr>
          <w:p>
            <w:pPr>
              <w:pStyle w:val="TableContents"/>
              <w:bidi w:val="0"/>
              <w:spacing w:before="0" w:after="283"/>
              <w:jc w:val="left"/>
              <w:rPr/>
            </w:pPr>
            <w:r>
              <w:rPr/>
              <w:t> </w:t>
            </w:r>
          </w:p>
        </w:tc>
        <w:tc>
          <w:tcPr>
            <w:tcW w:w="451"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3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7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78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993"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40" w:type="dxa"/>
            <w:tcBorders/>
            <w:shd w:fill="FFFFFF" w:val="clear"/>
            <w:vAlign w:val="bottom"/>
          </w:tcPr>
          <w:p>
            <w:pPr>
              <w:pStyle w:val="TableContents"/>
              <w:bidi w:val="0"/>
              <w:spacing w:before="0" w:after="283"/>
              <w:jc w:val="left"/>
              <w:rPr/>
            </w:pPr>
            <w:r>
              <w:rPr/>
              <w:t> </w:t>
            </w:r>
          </w:p>
        </w:tc>
      </w:tr>
      <w:tr>
        <w:trPr/>
        <w:tc>
          <w:tcPr>
            <w:tcW w:w="2817"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Common shares withheld for taxes</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w:t>
            </w:r>
          </w:p>
        </w:tc>
        <w:tc>
          <w:tcPr>
            <w:tcW w:w="8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(1,658</w:t>
            </w:r>
          </w:p>
        </w:tc>
        <w:tc>
          <w:tcPr>
            <w:tcW w:w="12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(1,658</w:t>
            </w:r>
          </w:p>
        </w:tc>
        <w:tc>
          <w:tcPr>
            <w:tcW w:w="14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17" w:type="dxa"/>
            <w:tcBorders/>
            <w:shd w:fill="FFFF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Shares repurchased</w:t>
            </w:r>
          </w:p>
        </w:tc>
        <w:tc>
          <w:tcPr>
            <w:tcW w:w="60" w:type="dxa"/>
            <w:tcBorders/>
            <w:shd w:fill="FFFFFF" w:val="clear"/>
            <w:vAlign w:val="bottom"/>
          </w:tcPr>
          <w:p>
            <w:pPr>
              <w:pStyle w:val="TableContents"/>
              <w:bidi w:val="0"/>
              <w:spacing w:before="0" w:after="283"/>
              <w:jc w:val="right"/>
              <w:rPr/>
            </w:pPr>
            <w:r>
              <w:rPr/>
              <w:t> </w:t>
            </w:r>
          </w:p>
        </w:tc>
        <w:tc>
          <w:tcPr>
            <w:tcW w:w="65" w:type="dxa"/>
            <w:tcBorders/>
            <w:shd w:fill="FFFFFF" w:val="clear"/>
            <w:vAlign w:val="bottom"/>
          </w:tcPr>
          <w:p>
            <w:pPr>
              <w:pStyle w:val="TableContents"/>
              <w:bidi w:val="0"/>
              <w:spacing w:before="0" w:after="283"/>
              <w:jc w:val="left"/>
              <w:rPr/>
            </w:pPr>
            <w:r>
              <w:rPr/>
              <w:t> </w:t>
            </w:r>
          </w:p>
        </w:tc>
        <w:tc>
          <w:tcPr>
            <w:tcW w:w="648"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right"/>
              <w:rPr/>
            </w:pPr>
            <w:r>
              <w:rPr/>
              <w:t> </w:t>
            </w:r>
          </w:p>
        </w:tc>
        <w:tc>
          <w:tcPr>
            <w:tcW w:w="244" w:type="dxa"/>
            <w:tcBorders/>
            <w:shd w:fill="FFFFFF" w:val="clear"/>
            <w:vAlign w:val="bottom"/>
          </w:tcPr>
          <w:p>
            <w:pPr>
              <w:pStyle w:val="TableContents"/>
              <w:bidi w:val="0"/>
              <w:spacing w:before="0" w:after="283"/>
              <w:jc w:val="left"/>
              <w:rPr/>
            </w:pPr>
            <w:r>
              <w:rPr/>
              <w:t> </w:t>
            </w:r>
          </w:p>
        </w:tc>
        <w:tc>
          <w:tcPr>
            <w:tcW w:w="451"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3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(809</w:t>
            </w:r>
          </w:p>
        </w:tc>
        <w:tc>
          <w:tcPr>
            <w:tcW w:w="9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7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(52,541</w:t>
            </w:r>
          </w:p>
        </w:tc>
        <w:tc>
          <w:tcPr>
            <w:tcW w:w="9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78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shd w:fill="FFFFFF" w:val="clear"/>
            <w:vAlign w:val="bottom"/>
          </w:tcPr>
          <w:p>
            <w:pPr>
              <w:pStyle w:val="TableContents"/>
              <w:bidi w:val="0"/>
              <w:spacing w:before="0" w:after="283"/>
              <w:jc w:val="left"/>
              <w:rPr/>
            </w:pPr>
            <w:r>
              <w:rPr/>
              <w:t> </w:t>
            </w:r>
          </w:p>
        </w:tc>
        <w:tc>
          <w:tcPr>
            <w:tcW w:w="993"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(52,541</w:t>
            </w:r>
          </w:p>
        </w:tc>
        <w:tc>
          <w:tcPr>
            <w:tcW w:w="14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17"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bottom"/>
          </w:tcPr>
          <w:p>
            <w:pPr>
              <w:pStyle w:val="TableContents"/>
              <w:bidi w:val="0"/>
              <w:spacing w:before="0" w:after="283"/>
              <w:jc w:val="righ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5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181,439</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181,439</w:t>
            </w:r>
          </w:p>
        </w:tc>
        <w:tc>
          <w:tcPr>
            <w:tcW w:w="140" w:type="dxa"/>
            <w:tcBorders/>
            <w:shd w:fill="CCEEFF" w:val="clear"/>
            <w:vAlign w:val="bottom"/>
          </w:tcPr>
          <w:p>
            <w:pPr>
              <w:pStyle w:val="TableContents"/>
              <w:bidi w:val="0"/>
              <w:spacing w:before="0" w:after="283"/>
              <w:jc w:val="left"/>
              <w:rPr/>
            </w:pPr>
            <w:r>
              <w:rPr/>
              <w:t> </w:t>
            </w:r>
          </w:p>
        </w:tc>
      </w:tr>
      <w:tr>
        <w:trPr/>
        <w:tc>
          <w:tcPr>
            <w:tcW w:w="2817" w:type="dxa"/>
            <w:tcBorders/>
            <w:shd w:fill="FFFF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Balance as of February 3, 2024</w:t>
            </w:r>
          </w:p>
        </w:tc>
        <w:tc>
          <w:tcPr>
            <w:tcW w:w="60" w:type="dxa"/>
            <w:tcBorders/>
            <w:shd w:fill="FFFFFF" w:val="clear"/>
            <w:vAlign w:val="bottom"/>
          </w:tcPr>
          <w:p>
            <w:pPr>
              <w:pStyle w:val="TableContents"/>
              <w:bidi w:val="0"/>
              <w:spacing w:before="0" w:after="283"/>
              <w:jc w:val="right"/>
              <w:rPr/>
            </w:pPr>
            <w:r>
              <w:rPr/>
              <w:t> </w:t>
            </w:r>
          </w:p>
        </w:tc>
        <w:tc>
          <w:tcPr>
            <w:tcW w:w="65" w:type="dxa"/>
            <w:tcBorders>
              <w:bottom w:val="double" w:sz="8" w:space="0" w:color="000000"/>
            </w:tcBorders>
            <w:shd w:fill="FFFFFF" w:val="clear"/>
            <w:tcMar>
              <w:bottom w:w="28" w:type="dxa"/>
            </w:tcMar>
            <w:vAlign w:val="bottom"/>
          </w:tcPr>
          <w:p>
            <w:pPr>
              <w:pStyle w:val="TableContents"/>
              <w:bidi w:val="0"/>
              <w:spacing w:before="0" w:after="283"/>
              <w:jc w:val="left"/>
              <w:rPr/>
            </w:pPr>
            <w:r>
              <w:rPr/>
              <w:t> </w:t>
            </w:r>
          </w:p>
        </w:tc>
        <w:tc>
          <w:tcPr>
            <w:tcW w:w="648"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66,927</w:t>
            </w:r>
          </w:p>
        </w:tc>
        <w:tc>
          <w:tcPr>
            <w:tcW w:w="87" w:type="dxa"/>
            <w:tcBorders/>
            <w:shd w:fill="FFFFFF" w:val="clear"/>
            <w:vAlign w:val="bottom"/>
          </w:tcPr>
          <w:p>
            <w:pPr>
              <w:pStyle w:val="TableContents"/>
              <w:bidi w:val="0"/>
              <w:spacing w:before="0" w:after="283"/>
              <w:jc w:val="left"/>
              <w:rPr/>
            </w:pPr>
            <w:r>
              <w:rPr/>
              <w:t> </w:t>
            </w:r>
          </w:p>
        </w:tc>
        <w:tc>
          <w:tcPr>
            <w:tcW w:w="65" w:type="dxa"/>
            <w:tcBorders/>
            <w:shd w:fill="FFFFFF" w:val="clear"/>
            <w:vAlign w:val="bottom"/>
          </w:tcPr>
          <w:p>
            <w:pPr>
              <w:pStyle w:val="TableContents"/>
              <w:bidi w:val="0"/>
              <w:spacing w:before="0" w:after="283"/>
              <w:jc w:val="right"/>
              <w:rPr/>
            </w:pPr>
            <w:r>
              <w:rPr/>
              <w:t> </w:t>
            </w:r>
          </w:p>
        </w:tc>
        <w:tc>
          <w:tcPr>
            <w:tcW w:w="244"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51"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bottom w:val="double" w:sz="8" w:space="0" w:color="000000"/>
            </w:tcBorders>
            <w:shd w:fill="FFFFFF" w:val="clear"/>
            <w:tcMar>
              <w:bottom w:w="28" w:type="dxa"/>
            </w:tcMar>
            <w:vAlign w:val="bottom"/>
          </w:tcPr>
          <w:p>
            <w:pPr>
              <w:pStyle w:val="TableContents"/>
              <w:bidi w:val="0"/>
              <w:spacing w:before="0" w:after="283"/>
              <w:jc w:val="left"/>
              <w:rPr/>
            </w:pPr>
            <w:r>
              <w:rPr/>
              <w:t> </w:t>
            </w:r>
          </w:p>
        </w:tc>
        <w:tc>
          <w:tcPr>
            <w:tcW w:w="63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(5,473</w:t>
            </w:r>
          </w:p>
        </w:tc>
        <w:tc>
          <w:tcPr>
            <w:tcW w:w="9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(354,745</w:t>
            </w:r>
          </w:p>
        </w:tc>
        <w:tc>
          <w:tcPr>
            <w:tcW w:w="9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right"/>
              <w:rPr/>
            </w:pPr>
            <w:r>
              <w:rPr/>
              <w:t> </w:t>
            </w:r>
          </w:p>
        </w:tc>
        <w:tc>
          <w:tcPr>
            <w:tcW w:w="140"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694,959</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1,167,951</w:t>
            </w:r>
          </w:p>
        </w:tc>
        <w:tc>
          <w:tcPr>
            <w:tcW w:w="120" w:type="dxa"/>
            <w:tcBorders/>
            <w:shd w:fill="FFFFFF" w:val="clear"/>
            <w:vAlign w:val="bottom"/>
          </w:tcPr>
          <w:p>
            <w:pPr>
              <w:pStyle w:val="TableContents"/>
              <w:bidi w:val="0"/>
              <w:spacing w:before="0" w:after="283"/>
              <w:jc w:val="left"/>
              <w:rPr/>
            </w:pPr>
            <w:r>
              <w:rPr/>
              <w:t> </w:t>
            </w:r>
          </w:p>
        </w:tc>
        <w:tc>
          <w:tcPr>
            <w:tcW w:w="120" w:type="dxa"/>
            <w:tcBorders/>
            <w:shd w:fill="FFFFFF" w:val="clear"/>
            <w:vAlign w:val="bottom"/>
          </w:tcPr>
          <w:p>
            <w:pPr>
              <w:pStyle w:val="TableContents"/>
              <w:bidi w:val="0"/>
              <w:spacing w:before="0" w:after="283"/>
              <w:jc w:val="right"/>
              <w:rPr/>
            </w:pPr>
            <w:r>
              <w:rPr/>
              <w:t> </w:t>
            </w:r>
          </w:p>
        </w:tc>
        <w:tc>
          <w:tcPr>
            <w:tcW w:w="140"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1,508,232</w:t>
            </w:r>
          </w:p>
        </w:tc>
        <w:tc>
          <w:tcPr>
            <w:tcW w:w="140" w:type="dxa"/>
            <w:tcBorders/>
            <w:shd w:fill="FFFF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See accompanying Notes to the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0" w:after="0"/>
        <w:jc w:val="center"/>
        <w:rPr>
          <w:rFonts w:ascii="Times New Roman;Times;serif" w:hAnsi="Times New Roman;Times;serif"/>
          <w:b/>
          <w:color w:val="000000"/>
          <w:sz w:val="20"/>
          <w:shd w:fill="FFFFFF" w:val="clear"/>
        </w:rPr>
      </w:pPr>
      <w:bookmarkStart w:id="33" w:name="CashFlow"/>
      <w:bookmarkEnd w:id="33"/>
      <w:r>
        <w:rPr>
          <w:rFonts w:ascii="Times New Roman;Times;serif" w:hAnsi="Times New Roman;Times;serif"/>
          <w:b/>
          <w:color w:val="000000"/>
          <w:sz w:val="20"/>
          <w:shd w:fill="FFFFFF" w:val="clear"/>
        </w:rPr>
        <w:t>OLLIE’S BARGAIN OUTLET HOLDINGS, INC. AND SUBSIDIARIES</w:t>
      </w:r>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Consolidated Statements of Cash Flows</w:t>
      </w:r>
      <w:bookmarkStart w:id="34" w:name="StatementsofCashFlows"/>
      <w:bookmarkEnd w:id="34"/>
    </w:p>
    <w:p>
      <w:pPr>
        <w:pStyle w:val="TextBody"/>
        <w:bidi w:val="0"/>
        <w:spacing w:before="0" w:after="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thousands)</w:t>
      </w:r>
    </w:p>
    <w:p>
      <w:pPr>
        <w:pStyle w:val="TextBody"/>
        <w:bidi w:val="0"/>
        <w:spacing w:before="0" w:after="0"/>
        <w:jc w:val="left"/>
        <w:rPr/>
      </w:pPr>
      <w:r>
        <w:rPr/>
      </w:r>
    </w:p>
    <w:tbl>
      <w:tblPr>
        <w:tblW w:w="10202" w:type="dxa"/>
        <w:jc w:val="left"/>
        <w:tblInd w:w="0" w:type="dxa"/>
        <w:tblLayout w:type="fixed"/>
        <w:tblCellMar>
          <w:top w:w="0" w:type="dxa"/>
          <w:left w:w="0" w:type="dxa"/>
          <w:bottom w:w="0" w:type="dxa"/>
          <w:right w:w="0" w:type="dxa"/>
        </w:tblCellMar>
      </w:tblPr>
      <w:tblGrid>
        <w:gridCol w:w="6635"/>
        <w:gridCol w:w="60"/>
        <w:gridCol w:w="128"/>
        <w:gridCol w:w="896"/>
        <w:gridCol w:w="95"/>
        <w:gridCol w:w="60"/>
        <w:gridCol w:w="147"/>
        <w:gridCol w:w="892"/>
        <w:gridCol w:w="95"/>
        <w:gridCol w:w="60"/>
        <w:gridCol w:w="147"/>
        <w:gridCol w:w="892"/>
        <w:gridCol w:w="95"/>
      </w:tblGrid>
      <w:tr>
        <w:trPr/>
        <w:tc>
          <w:tcPr>
            <w:tcW w:w="6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2"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February 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January 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January 29,</w:t>
            </w:r>
          </w:p>
        </w:tc>
        <w:tc>
          <w:tcPr>
            <w:tcW w:w="95"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181,439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102,790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157,455</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Depreciation and amortization of property and equipment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34,936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28,689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24,894</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Amortization of debt issuance costs</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256</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Gain on sale of assets</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(304</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(213</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Deferred income tax provision</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1,115</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8,042</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540" w:right="0" w:hanging="180"/>
              <w:jc w:val="left"/>
              <w:rPr>
                <w:rFonts w:ascii="Times New Roman" w:hAnsi="Times New Roman"/>
              </w:rPr>
            </w:pPr>
            <w:r>
              <w:rPr>
                <w:rFonts w:ascii="Times New Roman" w:hAnsi="Times New Roman"/>
              </w:rPr>
              <w:t>Other</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(723</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756" w:right="0" w:hanging="144"/>
              <w:jc w:val="left"/>
              <w:rPr>
                <w:rFonts w:ascii="Times New Roman;Times;serif" w:hAnsi="Times New Roman;Times;serif"/>
                <w:sz w:val="20"/>
              </w:rPr>
            </w:pPr>
            <w:r>
              <w:rPr>
                <w:rFonts w:ascii="Times New Roman;Times;serif" w:hAnsi="Times New Roman;Times;serif"/>
                <w:sz w:val="20"/>
              </w:rPr>
              <w:t>Inventories</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(35,256</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(3,228</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(113,602</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shd w:fill="CCEEFF" w:val="clear"/>
            <w:vAlign w:val="bottom"/>
          </w:tcPr>
          <w:p>
            <w:pPr>
              <w:pStyle w:val="TableContents"/>
              <w:bidi w:val="0"/>
              <w:spacing w:before="0" w:after="0"/>
              <w:ind w:left="756" w:right="0" w:hanging="144"/>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(751</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vAlign w:val="bottom"/>
          </w:tcPr>
          <w:p>
            <w:pPr>
              <w:pStyle w:val="TableContents"/>
              <w:bidi w:val="0"/>
              <w:spacing w:before="0" w:after="0"/>
              <w:ind w:left="756" w:right="0" w:hanging="144"/>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(3,895</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shd w:fill="CCEEFF" w:val="clear"/>
            <w:vAlign w:val="bottom"/>
          </w:tcPr>
          <w:p>
            <w:pPr>
              <w:pStyle w:val="TableContents"/>
              <w:bidi w:val="0"/>
              <w:spacing w:before="0" w:after="0"/>
              <w:ind w:left="756" w:right="0" w:hanging="144"/>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38,250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(20,379</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(11,116</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vAlign w:val="bottom"/>
          </w:tcPr>
          <w:p>
            <w:pPr>
              <w:pStyle w:val="TableContents"/>
              <w:bidi w:val="0"/>
              <w:spacing w:before="0" w:after="0"/>
              <w:ind w:left="756" w:right="0" w:hanging="144"/>
              <w:jc w:val="left"/>
              <w:rPr>
                <w:rFonts w:ascii="Times New Roman;Times;serif" w:hAnsi="Times New Roman;Times;serif"/>
                <w:sz w:val="20"/>
              </w:rPr>
            </w:pPr>
            <w:r>
              <w:rPr>
                <w:rFonts w:ascii="Times New Roman;Times;serif" w:hAnsi="Times New Roman;Times;serif"/>
                <w:sz w:val="20"/>
              </w:rPr>
              <w:t>Income taxes payable</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(8,404</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shd w:fill="CCEEFF" w:val="clear"/>
            <w:vAlign w:val="bottom"/>
          </w:tcPr>
          <w:p>
            <w:pPr>
              <w:pStyle w:val="TableContents"/>
              <w:bidi w:val="0"/>
              <w:spacing w:before="0" w:after="0"/>
              <w:ind w:left="756" w:right="0" w:hanging="144"/>
              <w:jc w:val="left"/>
              <w:rPr>
                <w:rFonts w:ascii="Times New Roman;Times;serif" w:hAnsi="Times New Roman;Times;serif"/>
                <w:sz w:val="20"/>
              </w:rPr>
            </w:pPr>
            <w:r>
              <w:rPr>
                <w:rFonts w:ascii="Times New Roman;Times;serif" w:hAnsi="Times New Roman;Times;serif"/>
                <w:sz w:val="20"/>
              </w:rPr>
              <w:t>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(7,734</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(8,748</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vAlign w:val="bottom"/>
          </w:tcPr>
          <w:p>
            <w:pPr>
              <w:pStyle w:val="TableContents"/>
              <w:bidi w:val="0"/>
              <w:spacing w:before="0" w:after="0"/>
              <w:ind w:left="900" w:right="0" w:hanging="144"/>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254,497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114,346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45,033</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Purchases of property and equipment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(124,404</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(51,667</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(34,989</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Proceeds from sale of property and equipment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3,159</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Times;serif" w:hAnsi="Times New Roman;Times;serif"/>
                <w:color w:val="000000"/>
                <w:sz w:val="20"/>
              </w:rPr>
            </w:pPr>
            <w:r>
              <w:rPr>
                <w:rFonts w:ascii="Times New Roman;Times;serif" w:hAnsi="Times New Roman;Times;serif"/>
                <w:color w:val="000000"/>
                <w:sz w:val="20"/>
              </w:rPr>
              <w:t>Purchases of short-term investments</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(273,522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(60,165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540" w:right="0" w:hanging="360"/>
              <w:jc w:val="left"/>
              <w:rPr>
                <w:rFonts w:ascii="Times New Roman" w:hAnsi="Times New Roman"/>
              </w:rPr>
            </w:pPr>
            <w:r>
              <w:rPr>
                <w:rFonts w:ascii="Times New Roman" w:hAnsi="Times New Roman"/>
              </w:rPr>
              <w:t>Maturities of short-term investments</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283"/>
              <w:jc w:val="right"/>
              <w:rPr/>
            </w:pPr>
            <w:r>
              <w:rPr/>
              <w:t>247,430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900" w:right="0" w:hanging="144"/>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(150,087</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(111,454</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(31,830</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shd w:fill="CCEEFF" w:val="clear"/>
            <w:vAlign w:val="bottom"/>
          </w:tcPr>
          <w:p>
            <w:pPr>
              <w:pStyle w:val="TableContents"/>
              <w:bidi w:val="0"/>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Repayments on finance leases</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(1,027</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(684</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rPr>
            </w:pPr>
            <w:r>
              <w:rPr>
                <w:rFonts w:ascii="Times New Roman" w:hAnsi="Times New Roman"/>
              </w:rPr>
              <w:t>Payment of debt issuance costs</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(204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Proceeds from stock option exercises</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8,635</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Common shares withheld for taxes</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(1,658</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Payment for shares repurchased</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(52,541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(41,832</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(219,971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shd w:fill="CCEEFF" w:val="clear"/>
            <w:vAlign w:val="bottom"/>
          </w:tcPr>
          <w:p>
            <w:pPr>
              <w:pStyle w:val="TableContents"/>
              <w:bidi w:val="0"/>
              <w:spacing w:before="0" w:after="0"/>
              <w:ind w:left="900" w:right="0" w:hanging="144"/>
              <w:jc w:val="left"/>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(48,744</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(39,273</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(213,352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vAlign w:val="bottom"/>
          </w:tcPr>
          <w:p>
            <w:pPr>
              <w:pStyle w:val="TableContents"/>
              <w:bidi w:val="0"/>
              <w:spacing w:before="0" w:after="0"/>
              <w:ind w:left="900" w:right="0" w:hanging="144"/>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55,666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(36,381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(200,149</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35"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Cash and cash equivalents, beginning of the period</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210,596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246,977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447,126</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Cash and cash equivalents, end of the period</w:t>
            </w:r>
          </w:p>
        </w:tc>
        <w:tc>
          <w:tcPr>
            <w:tcW w:w="60" w:type="dxa"/>
            <w:tcBorders/>
            <w:vAlign w:val="bottom"/>
          </w:tcPr>
          <w:p>
            <w:pPr>
              <w:pStyle w:val="TableContents"/>
              <w:bidi w:val="0"/>
              <w:spacing w:before="0" w:after="283"/>
              <w:jc w:val="right"/>
              <w:rPr/>
            </w:pPr>
            <w:r>
              <w:rPr/>
              <w:t> </w:t>
            </w:r>
          </w:p>
        </w:tc>
        <w:tc>
          <w:tcPr>
            <w:tcW w:w="128"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266,262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210,596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246,977</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Cash paid during the year for:</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432" w:right="0" w:hanging="144"/>
              <w:jc w:val="left"/>
              <w:rPr>
                <w:rFonts w:ascii="Times New Roman;Times;serif" w:hAnsi="Times New Roman;Times;serif"/>
                <w:sz w:val="20"/>
              </w:rPr>
            </w:pPr>
            <w:r>
              <w:rPr>
                <w:rFonts w:ascii="Times New Roman;Times;serif" w:hAnsi="Times New Roman;Times;serif"/>
                <w:sz w:val="20"/>
              </w:rPr>
              <w:t>Interest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358</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432" w:right="0" w:hanging="144"/>
              <w:jc w:val="left"/>
              <w:rPr>
                <w:rFonts w:ascii="Times New Roman;Times;serif" w:hAnsi="Times New Roman;Times;serif"/>
                <w:sz w:val="20"/>
              </w:rPr>
            </w:pPr>
            <w:r>
              <w:rPr>
                <w:rFonts w:ascii="Times New Roman;Times;serif" w:hAnsi="Times New Roman;Times;serif"/>
                <w:sz w:val="20"/>
              </w:rPr>
              <w:t>Income taxes</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48,601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26,566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54,690</w:t>
            </w:r>
          </w:p>
        </w:tc>
        <w:tc>
          <w:tcPr>
            <w:tcW w:w="95"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Non-cash investing activities:</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432" w:right="0" w:hanging="144"/>
              <w:jc w:val="left"/>
              <w:rPr>
                <w:rFonts w:ascii="Times New Roman;Times;serif" w:hAnsi="Times New Roman;Times;serif"/>
                <w:sz w:val="20"/>
              </w:rPr>
            </w:pPr>
            <w:r>
              <w:rPr>
                <w:rFonts w:ascii="Times New Roman;Times;serif" w:hAnsi="Times New Roman;Times;serif"/>
                <w:sz w:val="20"/>
              </w:rPr>
              <w:t>Accrued purchases of property and equipment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3,189</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See accompanying Notes to the Consolidated Financial Statements.</w:t>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0" w:after="0"/>
        <w:ind w:left="0" w:right="0" w:hanging="0"/>
        <w:jc w:val="center"/>
        <w:rPr>
          <w:rFonts w:ascii="Times New Roman" w:hAnsi="Times New Roman"/>
          <w:b/>
          <w:color w:val="000000"/>
          <w:sz w:val="20"/>
          <w:shd w:fill="FFFFFF" w:val="clear"/>
        </w:rPr>
      </w:pPr>
      <w:bookmarkStart w:id="35" w:name="Notes"/>
      <w:bookmarkEnd w:id="35"/>
      <w:r>
        <w:rPr>
          <w:rFonts w:ascii="Times New Roman" w:hAnsi="Times New Roman"/>
          <w:b/>
          <w:color w:val="000000"/>
          <w:sz w:val="20"/>
          <w:shd w:fill="FFFFFF" w:val="clear"/>
        </w:rPr>
        <w:t>OLLIE’S BARGAIN OUTLET HOLDINGS, INC. AND SUBSIDIARIES</w:t>
      </w:r>
    </w:p>
    <w:p>
      <w:pPr>
        <w:pStyle w:val="TextBody"/>
        <w:bidi w:val="0"/>
        <w:spacing w:before="0" w:after="0"/>
        <w:jc w:val="center"/>
        <w:rPr>
          <w:rFonts w:ascii="Times New Roman" w:hAnsi="Times New Roman"/>
          <w:color w:val="000000"/>
          <w:sz w:val="20"/>
          <w:shd w:fill="FFFFFF" w:val="clear"/>
        </w:rPr>
      </w:pPr>
      <w:bookmarkStart w:id="36" w:name="ConsolidatedFinancialStat"/>
      <w:bookmarkEnd w:id="36"/>
      <w:r>
        <w:rPr>
          <w:rFonts w:ascii="Times New Roman" w:hAnsi="Times New Roman"/>
          <w:color w:val="000000"/>
          <w:sz w:val="20"/>
          <w:shd w:fill="FFFFFF" w:val="clear"/>
        </w:rPr>
        <w:t>Notes to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tbl>
      <w:tblPr>
        <w:tblW w:w="6190" w:type="dxa"/>
        <w:jc w:val="left"/>
        <w:tblInd w:w="0" w:type="dxa"/>
        <w:tblLayout w:type="fixed"/>
        <w:tblCellMar>
          <w:top w:w="0" w:type="dxa"/>
          <w:left w:w="0" w:type="dxa"/>
          <w:bottom w:w="0" w:type="dxa"/>
          <w:right w:w="0" w:type="dxa"/>
        </w:tblCellMar>
      </w:tblPr>
      <w:tblGrid>
        <w:gridCol w:w="260"/>
        <w:gridCol w:w="593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5930" w:type="dxa"/>
            <w:tcBorders/>
            <w:vAlign w:val="center"/>
          </w:tcPr>
          <w:p>
            <w:pPr>
              <w:pStyle w:val="TableContents"/>
              <w:bidi w:val="0"/>
              <w:spacing w:before="0" w:after="160"/>
              <w:jc w:val="left"/>
              <w:rPr>
                <w:rFonts w:ascii="Times New Roman" w:hAnsi="Times New Roman"/>
                <w:b/>
                <w:sz w:val="20"/>
              </w:rPr>
            </w:pPr>
            <w:r>
              <w:rPr>
                <w:rFonts w:ascii="Times New Roman" w:hAnsi="Times New Roman"/>
                <w:b/>
                <w:sz w:val="20"/>
              </w:rPr>
              <w:t>Basis of Presentation and Summary of Significant Accounting Policies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2253" w:type="dxa"/>
        <w:jc w:val="left"/>
        <w:tblInd w:w="0" w:type="dxa"/>
        <w:tblLayout w:type="fixed"/>
        <w:tblCellMar>
          <w:top w:w="0" w:type="dxa"/>
          <w:left w:w="0" w:type="dxa"/>
          <w:bottom w:w="0" w:type="dxa"/>
          <w:right w:w="0" w:type="dxa"/>
        </w:tblCellMar>
      </w:tblPr>
      <w:tblGrid>
        <w:gridCol w:w="38"/>
        <w:gridCol w:w="245"/>
        <w:gridCol w:w="19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(a)</w:t>
            </w:r>
          </w:p>
        </w:tc>
        <w:tc>
          <w:tcPr>
            <w:tcW w:w="197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Description of Business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Ollie’s Bargain Outlet Holdings, Inc. and subsidiaries (collectively referred to as the “Company” or “Ollie’s”) principally buys overproduced, overstocked, and closeout merchandise from manufacturers, wholesalers, distributors, brokers, and other retailers. In addition, the Company augments its name-brand closeout deals with directly sourced private label products featuring names exclusive to Ollie’s in order to provide consistently value-priced goods in select key merchandise categories.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Since its first store opened in 1982, the Company has grown to 512 retail locations in 30 states </w:t>
      </w:r>
      <w:r>
        <w:rPr>
          <w:rFonts w:ascii="Times New Roman" w:hAnsi="Times New Roman"/>
          <w:b w:val="false"/>
          <w:i w:val="false"/>
          <w:caps w:val="false"/>
          <w:smallCaps w:val="false"/>
          <w:color w:val="000000"/>
          <w:spacing w:val="0"/>
          <w:sz w:val="20"/>
          <w:shd w:fill="FFFFFF" w:val="clear"/>
        </w:rPr>
        <w:t xml:space="preserve">as of February 3, 2024. Ollie’s Bargain Outlet retail locations are located in Alabama, Arkansas, Connecticut, Delaware, Florida, Georgia, Illinois, Indiana, Iowa, Kansas, Kentucky, Louisiana, Maryland, Massachusetts, Michigan, Mississippi, Missouri, New Jersey, New York, North Carolina, Ohio, Oklahoma, Pennsylvania, Rhode Island, South Carolina, Tennessee, Texas, Vermont, Virginia, and West </w:t>
      </w:r>
      <w:r>
        <w:rPr>
          <w:rFonts w:ascii="Times New Roman" w:hAnsi="Times New Roman"/>
          <w:color w:val="000000"/>
          <w:sz w:val="20"/>
          <w:shd w:fill="FFFFFF" w:val="clear"/>
        </w:rPr>
        <w:t>Virginia.</w:t>
      </w:r>
    </w:p>
    <w:p>
      <w:pPr>
        <w:pStyle w:val="TextBody"/>
        <w:bidi w:val="0"/>
        <w:spacing w:before="0" w:after="0"/>
        <w:ind w:left="1080" w:right="0" w:hanging="0"/>
        <w:jc w:val="both"/>
        <w:rPr>
          <w:rFonts w:ascii="Times New Roman" w:hAnsi="Times New Roman"/>
          <w:sz w:val="20"/>
        </w:rPr>
      </w:pPr>
      <w:r>
        <w:rPr>
          <w:rFonts w:ascii="Times New Roman" w:hAnsi="Times New Roman"/>
          <w:sz w:val="20"/>
        </w:rPr>
      </w:r>
    </w:p>
    <w:tbl>
      <w:tblPr>
        <w:tblW w:w="1278" w:type="dxa"/>
        <w:jc w:val="left"/>
        <w:tblInd w:w="0" w:type="dxa"/>
        <w:tblLayout w:type="fixed"/>
        <w:tblCellMar>
          <w:top w:w="0" w:type="dxa"/>
          <w:left w:w="0" w:type="dxa"/>
          <w:bottom w:w="0" w:type="dxa"/>
          <w:right w:w="0" w:type="dxa"/>
        </w:tblCellMar>
      </w:tblPr>
      <w:tblGrid>
        <w:gridCol w:w="38"/>
        <w:gridCol w:w="245"/>
        <w:gridCol w:w="995"/>
      </w:tblGrid>
      <w:tr>
        <w:trPr/>
        <w:tc>
          <w:tcPr>
            <w:tcW w:w="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(b)</w:t>
            </w:r>
          </w:p>
        </w:tc>
        <w:tc>
          <w:tcPr>
            <w:tcW w:w="99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Fiscal Year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Ollie’s follows a 52/53-week fiscal year, which ends on the Saturday nearer to January 31st of the following calendar year.  References to the fiscal year ended February 3, 2024 refer to the 53-week period from January 29, 2023 to February 3, 2024 (“2023”).  References to the fiscal year ended January 28, 2023 refer to the 52-week period from January 30, 2022 to January 28, 2023 (“2022”).  References to the fiscal year ended January 29, 2022 refer to the 52-week period from January 31, 2021 to January 29, 2022 (“2021”).</w:t>
      </w:r>
    </w:p>
    <w:p>
      <w:pPr>
        <w:pStyle w:val="TextBody"/>
        <w:bidi w:val="0"/>
        <w:spacing w:before="0" w:after="0"/>
        <w:jc w:val="left"/>
        <w:rPr>
          <w:rFonts w:ascii="Times New Roman" w:hAnsi="Times New Roman"/>
          <w:sz w:val="20"/>
        </w:rPr>
      </w:pPr>
      <w:r>
        <w:rPr>
          <w:rFonts w:ascii="Times New Roman" w:hAnsi="Times New Roman"/>
          <w:sz w:val="20"/>
        </w:rPr>
      </w:r>
    </w:p>
    <w:tbl>
      <w:tblPr>
        <w:tblW w:w="2583" w:type="dxa"/>
        <w:jc w:val="left"/>
        <w:tblInd w:w="0" w:type="dxa"/>
        <w:tblLayout w:type="fixed"/>
        <w:tblCellMar>
          <w:top w:w="0" w:type="dxa"/>
          <w:left w:w="0" w:type="dxa"/>
          <w:bottom w:w="0" w:type="dxa"/>
          <w:right w:w="0" w:type="dxa"/>
        </w:tblCellMar>
      </w:tblPr>
      <w:tblGrid>
        <w:gridCol w:w="38"/>
        <w:gridCol w:w="230"/>
        <w:gridCol w:w="231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(c)</w:t>
            </w:r>
          </w:p>
        </w:tc>
        <w:tc>
          <w:tcPr>
            <w:tcW w:w="231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Principles of Consolidation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consolidated financial statements include the accounts of the Company and its subsidiaries. Intercompany transactions have been eliminated in consolidation.</w:t>
      </w:r>
    </w:p>
    <w:p>
      <w:pPr>
        <w:pStyle w:val="TextBody"/>
        <w:bidi w:val="0"/>
        <w:spacing w:before="0" w:after="0"/>
        <w:jc w:val="left"/>
        <w:rPr>
          <w:rFonts w:ascii="Times New Roman" w:hAnsi="Times New Roman"/>
          <w:sz w:val="20"/>
        </w:rPr>
      </w:pPr>
      <w:r>
        <w:rPr>
          <w:rFonts w:ascii="Times New Roman" w:hAnsi="Times New Roman"/>
          <w:sz w:val="20"/>
        </w:rPr>
      </w:r>
    </w:p>
    <w:tbl>
      <w:tblPr>
        <w:tblW w:w="1683" w:type="dxa"/>
        <w:jc w:val="left"/>
        <w:tblInd w:w="0" w:type="dxa"/>
        <w:tblLayout w:type="fixed"/>
        <w:tblCellMar>
          <w:top w:w="0" w:type="dxa"/>
          <w:left w:w="0" w:type="dxa"/>
          <w:bottom w:w="0" w:type="dxa"/>
          <w:right w:w="0" w:type="dxa"/>
        </w:tblCellMar>
      </w:tblPr>
      <w:tblGrid>
        <w:gridCol w:w="38"/>
        <w:gridCol w:w="245"/>
        <w:gridCol w:w="140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(d)</w:t>
            </w:r>
          </w:p>
        </w:tc>
        <w:tc>
          <w:tcPr>
            <w:tcW w:w="140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Use of Estimates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0" w:after="0"/>
        <w:jc w:val="left"/>
        <w:rPr>
          <w:rFonts w:ascii="Times New Roman" w:hAnsi="Times New Roman"/>
          <w:sz w:val="20"/>
        </w:rPr>
      </w:pPr>
      <w:r>
        <w:rPr>
          <w:rFonts w:ascii="Times New Roman" w:hAnsi="Times New Roman"/>
          <w:sz w:val="20"/>
        </w:rPr>
      </w:r>
    </w:p>
    <w:tbl>
      <w:tblPr>
        <w:tblW w:w="4600" w:type="dxa"/>
        <w:jc w:val="left"/>
        <w:tblInd w:w="0" w:type="dxa"/>
        <w:tblLayout w:type="fixed"/>
        <w:tblCellMar>
          <w:top w:w="0" w:type="dxa"/>
          <w:left w:w="0" w:type="dxa"/>
          <w:bottom w:w="0" w:type="dxa"/>
          <w:right w:w="0" w:type="dxa"/>
        </w:tblCellMar>
      </w:tblPr>
      <w:tblGrid>
        <w:gridCol w:w="245"/>
        <w:gridCol w:w="4355"/>
      </w:tblGrid>
      <w:tr>
        <w:trPr/>
        <w:tc>
          <w:tcPr>
            <w:tcW w:w="245" w:type="dxa"/>
            <w:tcBorders/>
            <w:vAlign w:val="center"/>
          </w:tcPr>
          <w:p>
            <w:pPr>
              <w:pStyle w:val="TableContents"/>
              <w:bidi w:val="0"/>
              <w:spacing w:before="0" w:after="0"/>
              <w:ind w:left="547" w:right="0" w:hanging="0"/>
              <w:jc w:val="left"/>
              <w:rPr>
                <w:rFonts w:ascii="Times New Roman" w:hAnsi="Times New Roman"/>
                <w:b/>
                <w:i/>
                <w:caps w:val="false"/>
                <w:smallCaps w:val="false"/>
                <w:color w:val="000000"/>
                <w:sz w:val="20"/>
              </w:rPr>
            </w:pPr>
            <w:r>
              <w:rPr>
                <w:rFonts w:ascii="Times New Roman" w:hAnsi="Times New Roman"/>
                <w:b/>
                <w:i/>
                <w:caps w:val="false"/>
                <w:smallCaps w:val="false"/>
                <w:color w:val="000000"/>
                <w:sz w:val="20"/>
              </w:rPr>
              <w:t>(e)</w:t>
            </w:r>
          </w:p>
        </w:tc>
        <w:tc>
          <w:tcPr>
            <w:tcW w:w="4355" w:type="dxa"/>
            <w:tcBorders/>
            <w:vAlign w:val="center"/>
          </w:tcPr>
          <w:p>
            <w:pPr>
              <w:pStyle w:val="TableContents"/>
              <w:bidi w:val="0"/>
              <w:spacing w:before="0" w:after="0"/>
              <w:jc w:val="left"/>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Cash, Cash Equivalents, and Short-term Investments</w:t>
            </w:r>
          </w:p>
        </w:tc>
      </w:tr>
    </w:tbl>
    <w:p>
      <w:pPr>
        <w:pStyle w:val="TextBody"/>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considers cash on hand in stores, bank deposits, credit card receivables, and all highly liquid investments such as money market funds, treasury bonds and municipal bonds with remaining maturities of three months or less at the date of acquisition to be cash and cash equivalents. Investments with maturities greater than three months, but less than 1 year at the date of acquisition are classified as short-term investments. Amounts receivable from credit card issuers are typically converted to cash within one to two business days of the original sales transaction.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tbl>
      <w:tblPr>
        <w:tblW w:w="2178" w:type="dxa"/>
        <w:jc w:val="left"/>
        <w:tblInd w:w="0" w:type="dxa"/>
        <w:tblLayout w:type="fixed"/>
        <w:tblCellMar>
          <w:top w:w="0" w:type="dxa"/>
          <w:left w:w="0" w:type="dxa"/>
          <w:bottom w:w="0" w:type="dxa"/>
          <w:right w:w="0" w:type="dxa"/>
        </w:tblCellMar>
      </w:tblPr>
      <w:tblGrid>
        <w:gridCol w:w="38"/>
        <w:gridCol w:w="200"/>
        <w:gridCol w:w="194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(f)</w:t>
            </w:r>
          </w:p>
        </w:tc>
        <w:tc>
          <w:tcPr>
            <w:tcW w:w="194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Fair Value Disclosures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Fair value is defined as the price which the Company would receive to sell an asset or pay to transfer a liability (an exit price) in an orderly transaction between market participants on the measurement date. In determining fair value, GAAP establishes a three</w:t>
        <w:noBreakHyphen/>
        <w:t xml:space="preserve">level hierarchy used in measuring fair value, as follows: </w:t>
      </w:r>
    </w:p>
    <w:p>
      <w:pPr>
        <w:pStyle w:val="TextBody"/>
        <w:bidi w:val="0"/>
        <w:spacing w:before="0" w:after="0"/>
        <w:jc w:val="left"/>
        <w:rPr>
          <w:rFonts w:ascii="Times New Roman" w:hAnsi="Times New Roman"/>
          <w:sz w:val="20"/>
        </w:rPr>
      </w:pPr>
      <w:r>
        <w:rPr>
          <w:rFonts w:ascii="Times New Roman" w:hAnsi="Times New Roman"/>
          <w:sz w:val="20"/>
        </w:rPr>
      </w:r>
    </w:p>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1 inputs are quoted prices available for identical assets and liabilities in active markets.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2 inputs are observable for the asset or liability, either directly or indirectly, including quoted prices for similar assets and liabilities in active markets or other inputs that are observable or can be corroborated by observable market data.</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3 inputs are unobservable, developed using the Company’s estimates and assumptions, which reflect those that market participants would use.</w:t>
            </w:r>
          </w:p>
        </w:tc>
      </w:tr>
    </w:tbl>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Ollie’s financial instruments consist of cash and cash equivalents, investment securities, accounts receivable, accounts payable, and the Company’s credit facilities. The carrying amounts of cash and cash equivalents, accounts receivable, and accounts payable are representative of their respective fair value because of their short-term nature. The carrying amount of the Company’s credit facilities, see Note 7 to the Consolidated Financial Statements for additional information related to our credit facility, approximates its fair value because the interest rates are adjusted regularly based on current market conditions. Under the fair value hierarchy, the fair market values of cash equivalents and the investments in treasury bonds and corporate bonds are Level 1 while the investments in municipal bonds are Level 2. Since quoted prices in active markets for identical assets are not available, these prices are determined by the third-party pricing service using observable market information such as quotes from less active markets and quoted prices of similar securities.</w:t>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of February 3, 2024 and January 28, 2023, the Company’s investment securities are classified as held-to-maturity since the Company has both the intent and ability to hold the investments to maturity. Such securities are carried at amortized cost plus accrued interest and consist of the following:</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tbl>
      <w:tblPr>
        <w:tblW w:w="9011" w:type="dxa"/>
        <w:jc w:val="left"/>
        <w:tblInd w:w="1080" w:type="dxa"/>
        <w:tblLayout w:type="fixed"/>
        <w:tblCellMar>
          <w:top w:w="0" w:type="dxa"/>
          <w:left w:w="0" w:type="dxa"/>
          <w:bottom w:w="0" w:type="dxa"/>
          <w:right w:w="0" w:type="dxa"/>
        </w:tblCellMar>
      </w:tblPr>
      <w:tblGrid>
        <w:gridCol w:w="1445"/>
        <w:gridCol w:w="60"/>
        <w:gridCol w:w="233"/>
        <w:gridCol w:w="1106"/>
        <w:gridCol w:w="60"/>
        <w:gridCol w:w="60"/>
        <w:gridCol w:w="713"/>
        <w:gridCol w:w="1316"/>
        <w:gridCol w:w="60"/>
        <w:gridCol w:w="60"/>
        <w:gridCol w:w="501"/>
        <w:gridCol w:w="1588"/>
        <w:gridCol w:w="80"/>
        <w:gridCol w:w="60"/>
        <w:gridCol w:w="281"/>
        <w:gridCol w:w="1328"/>
        <w:gridCol w:w="60"/>
      </w:tblGrid>
      <w:tr>
        <w:trPr/>
        <w:tc>
          <w:tcPr>
            <w:tcW w:w="144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446"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of February 3, 2024</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44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13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Amortized Cost</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Gross Unrealized Gains</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20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Gross Unrealized Losses</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Fair Market Value</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44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446" w:type="dxa"/>
            <w:gridSpan w:val="14"/>
            <w:tcBorders/>
            <w:vAlign w:val="bottom"/>
          </w:tcPr>
          <w:p>
            <w:pPr>
              <w:pStyle w:val="TableContents"/>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thousands)</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44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339"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029"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089"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609"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445"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Treasury Bonds</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33"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0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49,765</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713"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1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50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588"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81"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28"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49,781</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445" w:type="dxa"/>
            <w:tcBorders/>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Municipal Bonds</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3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10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10,136</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71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316"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50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8"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81"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328"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9,997</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445"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Corporate Bonds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33"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106"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27,079</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713"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316"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501"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88"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81"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328"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27,101</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144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0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86,980</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71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1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50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58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2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86,879</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1080" w:right="0" w:hanging="0"/>
        <w:jc w:val="left"/>
        <w:rPr>
          <w:rFonts w:ascii="Times New Roman" w:hAnsi="Times New Roman"/>
          <w:sz w:val="20"/>
        </w:rPr>
      </w:pPr>
      <w:r>
        <w:rPr>
          <w:rFonts w:ascii="Times New Roman" w:hAnsi="Times New Roman"/>
          <w:sz w:val="20"/>
        </w:rPr>
      </w:r>
    </w:p>
    <w:tbl>
      <w:tblPr>
        <w:tblW w:w="9041" w:type="dxa"/>
        <w:jc w:val="left"/>
        <w:tblInd w:w="1080" w:type="dxa"/>
        <w:tblLayout w:type="fixed"/>
        <w:tblCellMar>
          <w:top w:w="0" w:type="dxa"/>
          <w:left w:w="0" w:type="dxa"/>
          <w:bottom w:w="0" w:type="dxa"/>
          <w:right w:w="0" w:type="dxa"/>
        </w:tblCellMar>
      </w:tblPr>
      <w:tblGrid>
        <w:gridCol w:w="1460"/>
        <w:gridCol w:w="60"/>
        <w:gridCol w:w="233"/>
        <w:gridCol w:w="1106"/>
        <w:gridCol w:w="60"/>
        <w:gridCol w:w="60"/>
        <w:gridCol w:w="1237"/>
        <w:gridCol w:w="792"/>
        <w:gridCol w:w="60"/>
        <w:gridCol w:w="60"/>
        <w:gridCol w:w="629"/>
        <w:gridCol w:w="1460"/>
        <w:gridCol w:w="80"/>
        <w:gridCol w:w="60"/>
        <w:gridCol w:w="281"/>
        <w:gridCol w:w="1328"/>
        <w:gridCol w:w="75"/>
      </w:tblGrid>
      <w:tr>
        <w:trPr/>
        <w:tc>
          <w:tcPr>
            <w:tcW w:w="14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7446"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January 28, 2023</w:t>
            </w:r>
          </w:p>
        </w:tc>
        <w:tc>
          <w:tcPr>
            <w:tcW w:w="7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Amortized 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 Unrealized 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 Unrealized 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Market Value</w:t>
            </w:r>
          </w:p>
        </w:tc>
        <w:tc>
          <w:tcPr>
            <w:tcW w:w="7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7446" w:type="dxa"/>
            <w:gridSpan w:val="14"/>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 thousands)</w:t>
            </w:r>
          </w:p>
        </w:tc>
        <w:tc>
          <w:tcPr>
            <w:tcW w:w="7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Short-term:</w:t>
            </w:r>
          </w:p>
        </w:tc>
        <w:tc>
          <w:tcPr>
            <w:tcW w:w="60" w:type="dxa"/>
            <w:tcBorders/>
            <w:vAlign w:val="bottom"/>
          </w:tcPr>
          <w:p>
            <w:pPr>
              <w:pStyle w:val="TableContents"/>
              <w:bidi w:val="0"/>
              <w:spacing w:before="0" w:after="283"/>
              <w:jc w:val="left"/>
              <w:rPr/>
            </w:pPr>
            <w:r>
              <w:rPr/>
              <w:t> </w:t>
            </w:r>
          </w:p>
        </w:tc>
        <w:tc>
          <w:tcPr>
            <w:tcW w:w="13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8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Treasury Bonds</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55,274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3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2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2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55,191</w:t>
            </w:r>
          </w:p>
        </w:tc>
        <w:tc>
          <w:tcPr>
            <w:tcW w:w="75"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Municipal Bonds</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37"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29"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4,883</w:t>
            </w:r>
          </w:p>
        </w:tc>
        <w:tc>
          <w:tcPr>
            <w:tcW w:w="75"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Corporate Bonds</w:t>
            </w:r>
          </w:p>
        </w:tc>
        <w:tc>
          <w:tcPr>
            <w:tcW w:w="60" w:type="dxa"/>
            <w:tcBorders/>
            <w:shd w:fill="CCEEFF" w:val="clear"/>
            <w:vAlign w:val="bottom"/>
          </w:tcPr>
          <w:p>
            <w:pPr>
              <w:pStyle w:val="TableContents"/>
              <w:bidi w:val="0"/>
              <w:spacing w:before="0" w:after="283"/>
              <w:jc w:val="right"/>
              <w:rPr/>
            </w:pPr>
            <w:r>
              <w:rPr/>
              <w:t> </w:t>
            </w:r>
          </w:p>
        </w:tc>
        <w:tc>
          <w:tcPr>
            <w:tcW w:w="2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23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60,165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3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2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6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2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60,074</w:t>
            </w:r>
          </w:p>
        </w:tc>
        <w:tc>
          <w:tcPr>
            <w:tcW w:w="75" w:type="dxa"/>
            <w:tcBorders/>
            <w:vAlign w:val="bottom"/>
          </w:tcPr>
          <w:p>
            <w:pPr>
              <w:pStyle w:val="TableContents"/>
              <w:bidi w:val="0"/>
              <w:spacing w:before="0" w:after="283"/>
              <w:jc w:val="left"/>
              <w:rPr/>
            </w:pPr>
            <w:r>
              <w:rPr/>
              <w:t> </w:t>
            </w:r>
          </w:p>
        </w:tc>
      </w:tr>
    </w:tbl>
    <w:p>
      <w:pPr>
        <w:pStyle w:val="TextBody"/>
        <w:bidi w:val="0"/>
        <w:spacing w:before="0" w:after="0"/>
        <w:ind w:left="162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Short-term investment securities as of February 3, 2024 and January 28, 2023 all mature in one year or less.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tbl>
      <w:tblPr>
        <w:tblW w:w="2695" w:type="dxa"/>
        <w:jc w:val="left"/>
        <w:tblInd w:w="0" w:type="dxa"/>
        <w:tblLayout w:type="fixed"/>
        <w:tblCellMar>
          <w:top w:w="0" w:type="dxa"/>
          <w:left w:w="0" w:type="dxa"/>
          <w:bottom w:w="0" w:type="dxa"/>
          <w:right w:w="0" w:type="dxa"/>
        </w:tblCellMar>
      </w:tblPr>
      <w:tblGrid>
        <w:gridCol w:w="260"/>
        <w:gridCol w:w="2435"/>
      </w:tblGrid>
      <w:tr>
        <w:trPr/>
        <w:tc>
          <w:tcPr>
            <w:tcW w:w="260" w:type="dxa"/>
            <w:tcBorders/>
            <w:vAlign w:val="center"/>
          </w:tcPr>
          <w:p>
            <w:pPr>
              <w:pStyle w:val="TableContents"/>
              <w:bidi w:val="0"/>
              <w:spacing w:before="0" w:after="0"/>
              <w:ind w:left="547" w:right="0" w:hanging="0"/>
              <w:jc w:val="left"/>
              <w:rPr>
                <w:rFonts w:ascii="Times New Roman" w:hAnsi="Times New Roman"/>
                <w:b/>
                <w:i/>
                <w:caps w:val="false"/>
                <w:smallCaps w:val="false"/>
                <w:color w:val="000000"/>
                <w:sz w:val="20"/>
              </w:rPr>
            </w:pPr>
            <w:r>
              <w:rPr>
                <w:rFonts w:ascii="Times New Roman" w:hAnsi="Times New Roman"/>
                <w:b/>
                <w:i/>
                <w:caps w:val="false"/>
                <w:smallCaps w:val="false"/>
                <w:color w:val="000000"/>
                <w:sz w:val="20"/>
              </w:rPr>
              <w:t>(g)</w:t>
            </w:r>
          </w:p>
        </w:tc>
        <w:tc>
          <w:tcPr>
            <w:tcW w:w="2435" w:type="dxa"/>
            <w:tcBorders/>
            <w:vAlign w:val="center"/>
          </w:tcPr>
          <w:p>
            <w:pPr>
              <w:pStyle w:val="TableContents"/>
              <w:bidi w:val="0"/>
              <w:spacing w:before="0" w:after="0"/>
              <w:jc w:val="left"/>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Concentration of Credit Risk</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 financial instrument which potentially subjects the Company to a concentration of credit risk is cash. Ollie’s currently maintains its day</w:t>
        <w:noBreakHyphen/>
        <w:t>to</w:t>
        <w:noBreakHyphen/>
        <w:t>day operating cash balances with major financial institutions. The Company’s operating cash balances are in excess of the Federal Deposit Insurance Corporation (“FDIC”) insurance limit. Ollie’s invests temporary excess cash in overnight investments with expected minimal volatility, such as money market funds. Although the Company maintains balances which exceed the FDIC insured limit, it has not experienced any losses related to these balances.</w:t>
      </w:r>
    </w:p>
    <w:p>
      <w:pPr>
        <w:pStyle w:val="TextBody"/>
        <w:bidi w:val="0"/>
        <w:spacing w:before="0" w:after="0"/>
        <w:jc w:val="left"/>
        <w:rPr>
          <w:rFonts w:ascii="Times New Roman" w:hAnsi="Times New Roman"/>
          <w:sz w:val="20"/>
        </w:rPr>
      </w:pPr>
      <w:r>
        <w:rPr>
          <w:rFonts w:ascii="Times New Roman" w:hAnsi="Times New Roman"/>
          <w:sz w:val="20"/>
        </w:rPr>
      </w:r>
    </w:p>
    <w:tbl>
      <w:tblPr>
        <w:tblW w:w="1248" w:type="dxa"/>
        <w:jc w:val="left"/>
        <w:tblInd w:w="0" w:type="dxa"/>
        <w:tblLayout w:type="fixed"/>
        <w:tblCellMar>
          <w:top w:w="0" w:type="dxa"/>
          <w:left w:w="0" w:type="dxa"/>
          <w:bottom w:w="0" w:type="dxa"/>
          <w:right w:w="0" w:type="dxa"/>
        </w:tblCellMar>
      </w:tblPr>
      <w:tblGrid>
        <w:gridCol w:w="38"/>
        <w:gridCol w:w="245"/>
        <w:gridCol w:w="96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(h)</w:t>
            </w:r>
          </w:p>
        </w:tc>
        <w:tc>
          <w:tcPr>
            <w:tcW w:w="96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Inventories</w:t>
            </w:r>
          </w:p>
        </w:tc>
      </w:tr>
    </w:tbl>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ind w:left="1080" w:right="0" w:hanging="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Inventories are stated at the lower of cost or market determined using the retail inventory method on a first-in, first-out basis. The cost of inventories includes the merchandise cost, transportation costs, and certain distribution and storage costs. Such costs are thereafter expensed as cost of sales upon the sale of the merchandise.</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ind w:left="1080" w:right="0" w:hanging="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Inherent in the retail inventory method are certain management judgments and estimates including, among others, merchandise markups, the amount and timing of permanent markdowns, and shrinkage, which may significantly impact both the ending inventory valuation and gross profit.</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Factors considered in the determination of permanent markdowns include inventory obsolescence, excess inventories, current and anticipated demand, age of the merchandise, and customer preferences.  Pursuant to the retail inventory method, permanent markdowns result in the devaluation of inventory and the resulting gross profit reduction is recognized in the period in which the markdown is recorded.</w:t>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We calculate our shrink provision based on actual physical inventory results during the fiscal period and an accrual for estimated shrink occurring subsequent to a physical inventory through the end of the fiscal reporting period. This accrual is calculated as a percentage of sales for each retail store, at a department level, based on the company’s most recent historical shrink rate adjusted, if necessary, for current economic conditions and business trends.</w:t>
      </w:r>
    </w:p>
    <w:p>
      <w:pPr>
        <w:pStyle w:val="TextBody"/>
        <w:bidi w:val="0"/>
        <w:spacing w:before="0" w:after="0"/>
        <w:jc w:val="left"/>
        <w:rPr>
          <w:rFonts w:ascii="Times New Roman" w:hAnsi="Times New Roman"/>
          <w:sz w:val="20"/>
        </w:rPr>
      </w:pPr>
      <w:r>
        <w:rPr>
          <w:rFonts w:ascii="Times New Roman" w:hAnsi="Times New Roman"/>
          <w:sz w:val="20"/>
        </w:rPr>
      </w:r>
    </w:p>
    <w:tbl>
      <w:tblPr>
        <w:tblW w:w="2313" w:type="dxa"/>
        <w:jc w:val="left"/>
        <w:tblInd w:w="0" w:type="dxa"/>
        <w:tblLayout w:type="fixed"/>
        <w:tblCellMar>
          <w:top w:w="0" w:type="dxa"/>
          <w:left w:w="0" w:type="dxa"/>
          <w:bottom w:w="0" w:type="dxa"/>
          <w:right w:w="0" w:type="dxa"/>
        </w:tblCellMar>
      </w:tblPr>
      <w:tblGrid>
        <w:gridCol w:w="38"/>
        <w:gridCol w:w="200"/>
        <w:gridCol w:w="207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w:t>
            </w:r>
          </w:p>
        </w:tc>
        <w:tc>
          <w:tcPr>
            <w:tcW w:w="207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Property and Equipment</w:t>
            </w:r>
          </w:p>
        </w:tc>
      </w:tr>
    </w:tbl>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Property and equipment are stated at original cost less accumulated depreciation and amortization. Depreciation and amortization are calculated over the estimated useful lives of the related assets, or in the case of leasehold improvements, the lesser of the useful lives or the remaining term of the lease. Expenditures for additions, renewals, and betterments are capitalized; expenditures for maintenance and repairs are charged to expense as incurred. Depreciation is computed on the straight-line method for financial reporting purposes.</w:t>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108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 xml:space="preserve">The useful lives for the purpose of computing depreciation and amortization are as follows: </w:t>
      </w:r>
    </w:p>
    <w:p>
      <w:pPr>
        <w:pStyle w:val="TextBody"/>
        <w:bidi w:val="0"/>
        <w:spacing w:before="0" w:after="0"/>
        <w:ind w:left="108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5470" w:type="dxa"/>
        <w:jc w:val="left"/>
        <w:tblInd w:w="1080" w:type="dxa"/>
        <w:tblLayout w:type="fixed"/>
        <w:tblCellMar>
          <w:top w:w="0" w:type="dxa"/>
          <w:left w:w="0" w:type="dxa"/>
          <w:bottom w:w="0" w:type="dxa"/>
          <w:right w:w="0" w:type="dxa"/>
        </w:tblCellMar>
      </w:tblPr>
      <w:tblGrid>
        <w:gridCol w:w="2795"/>
        <w:gridCol w:w="2675"/>
      </w:tblGrid>
      <w:tr>
        <w:trPr/>
        <w:tc>
          <w:tcPr>
            <w:tcW w:w="2795" w:type="dxa"/>
            <w:tcBorders/>
            <w:shd w:fill="CCEEFF" w:val="clear"/>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Software</w:t>
            </w:r>
          </w:p>
        </w:tc>
        <w:tc>
          <w:tcPr>
            <w:tcW w:w="2675" w:type="dxa"/>
            <w:tcBorders/>
            <w:shd w:fill="CCEEFF" w:val="clear"/>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 years</w:t>
            </w:r>
          </w:p>
        </w:tc>
      </w:tr>
      <w:tr>
        <w:trPr/>
        <w:tc>
          <w:tcPr>
            <w:tcW w:w="2795" w:type="dxa"/>
            <w:tcBorders/>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Automobiles</w:t>
            </w:r>
          </w:p>
        </w:tc>
        <w:tc>
          <w:tcPr>
            <w:tcW w:w="2675" w:type="dxa"/>
            <w:tcBorders/>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2 - 5 years</w:t>
            </w:r>
          </w:p>
        </w:tc>
      </w:tr>
      <w:tr>
        <w:trPr/>
        <w:tc>
          <w:tcPr>
            <w:tcW w:w="2795" w:type="dxa"/>
            <w:tcBorders/>
            <w:shd w:fill="CCEEFF" w:val="clear"/>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Computer equipment</w:t>
            </w:r>
          </w:p>
        </w:tc>
        <w:tc>
          <w:tcPr>
            <w:tcW w:w="2675" w:type="dxa"/>
            <w:tcBorders/>
            <w:shd w:fill="CCEEFF" w:val="clear"/>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 years</w:t>
            </w:r>
          </w:p>
        </w:tc>
      </w:tr>
      <w:tr>
        <w:trPr/>
        <w:tc>
          <w:tcPr>
            <w:tcW w:w="2795" w:type="dxa"/>
            <w:tcBorders/>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Furniture, fixtures, and equipment</w:t>
            </w:r>
          </w:p>
        </w:tc>
        <w:tc>
          <w:tcPr>
            <w:tcW w:w="2675" w:type="dxa"/>
            <w:tcBorders/>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7 - 10 years</w:t>
            </w:r>
          </w:p>
        </w:tc>
      </w:tr>
      <w:tr>
        <w:trPr/>
        <w:tc>
          <w:tcPr>
            <w:tcW w:w="2795" w:type="dxa"/>
            <w:tcBorders/>
            <w:shd w:fill="CCEEFF" w:val="clear"/>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Buildings</w:t>
            </w:r>
          </w:p>
        </w:tc>
        <w:tc>
          <w:tcPr>
            <w:tcW w:w="2675" w:type="dxa"/>
            <w:tcBorders/>
            <w:shd w:fill="CCEEFF" w:val="clear"/>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 years</w:t>
            </w:r>
          </w:p>
        </w:tc>
      </w:tr>
      <w:tr>
        <w:trPr/>
        <w:tc>
          <w:tcPr>
            <w:tcW w:w="2795" w:type="dxa"/>
            <w:tcBorders/>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Leasehold improvements</w:t>
            </w:r>
          </w:p>
        </w:tc>
        <w:tc>
          <w:tcPr>
            <w:tcW w:w="2675" w:type="dxa"/>
            <w:tcBorders/>
            <w:vAlign w:val="center"/>
          </w:tcPr>
          <w:p>
            <w:pPr>
              <w:pStyle w:val="TableContents"/>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Lesser of lease term or useful life</w:t>
            </w:r>
          </w:p>
        </w:tc>
      </w:tr>
    </w:tbl>
    <w:p>
      <w:pPr>
        <w:pStyle w:val="TextBody"/>
        <w:bidi w:val="0"/>
        <w:spacing w:before="0" w:after="0"/>
        <w:ind w:left="1080" w:right="0" w:hanging="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tbl>
      <w:tblPr>
        <w:tblW w:w="2523" w:type="dxa"/>
        <w:jc w:val="left"/>
        <w:tblInd w:w="0" w:type="dxa"/>
        <w:tblLayout w:type="fixed"/>
        <w:tblCellMar>
          <w:top w:w="0" w:type="dxa"/>
          <w:left w:w="0" w:type="dxa"/>
          <w:bottom w:w="0" w:type="dxa"/>
          <w:right w:w="0" w:type="dxa"/>
        </w:tblCellMar>
      </w:tblPr>
      <w:tblGrid>
        <w:gridCol w:w="38"/>
        <w:gridCol w:w="200"/>
        <w:gridCol w:w="228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(j)</w:t>
            </w:r>
          </w:p>
        </w:tc>
        <w:tc>
          <w:tcPr>
            <w:tcW w:w="228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Goodwill/Intangible Assets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amortizes intangible assets over their useful lives unless it determines such lives to be indefinite.  Goodwill and intangible assets having indefinite useful lives are not amortized to earnings, but instead are subject to annual impairment testing or more frequently if events or circumstances indicate that the value of goodwill or intangible assets having indefinite useful lives might be impaired.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Goodwill and intangible assets having indefinite useful lives are tested for impairment annually in the fiscal month of October.  The Company has the option to evaluate qualitative factors to determine if it is more likely than not that the carrying amount of its sole reporting unit or its nonamortizing intangible assets (consisting of a tradename) exceed their implied respective fair value and whether it is necessary to perform a quantitative analysis to determine impairment.  As part of this qualitative assessment, the Company weighs the relative impact of factors that are specific to its sole reporting unit or its nonamortizing intangible assets as well as industry, regulatory and macroeconomic factors that could affect the inputs used to determine the fair value of the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If management determines a quantitative goodwill impairment test is required, or it elects to perform a quantitative test, the test is performed by determining the fair value of the Company’s sole reporting unit.  Fair value is determined based on the Company’s public market capitalization. The carrying value of goodwill is considered impaired when the reporting unit’s fair value is less than its carrying value and the Company would record an impairment loss equal to the difference, not to exceed the total amount of goodwill allocated to the reporting unit.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For </w:t>
      </w:r>
      <w:r>
        <w:rPr>
          <w:rFonts w:ascii="Times New Roman" w:hAnsi="Times New Roman"/>
          <w:b w:val="false"/>
          <w:i w:val="false"/>
          <w:caps w:val="false"/>
          <w:smallCaps w:val="false"/>
          <w:color w:val="000000"/>
          <w:spacing w:val="0"/>
          <w:sz w:val="20"/>
          <w:shd w:fill="FFFFFF" w:val="clear"/>
        </w:rPr>
        <w:t xml:space="preserve">2023, 2022, and 2021, the </w:t>
      </w:r>
      <w:r>
        <w:rPr>
          <w:rFonts w:ascii="Times New Roman" w:hAnsi="Times New Roman"/>
          <w:color w:val="000000"/>
          <w:sz w:val="20"/>
          <w:shd w:fill="FFFFFF" w:val="clear"/>
        </w:rPr>
        <w:t>Company completed an impairment test of its goodwill and determined that no impairment of goodwill existed.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If management determines a quantitative analysis of intangible assets having indefinite useful lives is required, the test is performed using the discounted cash flow method based on management’s projections of future revenues and an estimated royalty rate to determine the fair value of the asset, specifically, the Company’s tradename.  An impairment loss is recognized for any excess of the carrying amount of the asset over the implied fair value of that asset.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For </w:t>
      </w:r>
      <w:r>
        <w:rPr>
          <w:rFonts w:ascii="Times New Roman" w:hAnsi="Times New Roman"/>
          <w:b w:val="false"/>
          <w:i w:val="false"/>
          <w:caps w:val="false"/>
          <w:smallCaps w:val="false"/>
          <w:color w:val="000000"/>
          <w:spacing w:val="0"/>
          <w:sz w:val="20"/>
          <w:shd w:fill="FFFFFF" w:val="clear"/>
        </w:rPr>
        <w:t xml:space="preserve">2023, 2022, and 2021, the </w:t>
      </w:r>
      <w:r>
        <w:rPr>
          <w:rFonts w:ascii="Times New Roman" w:hAnsi="Times New Roman"/>
          <w:color w:val="000000"/>
          <w:sz w:val="20"/>
          <w:shd w:fill="FFFFFF" w:val="clear"/>
        </w:rPr>
        <w:t>Company completed an impairment test of its tradename and determined that no impairment of the asset existed.</w:t>
      </w:r>
    </w:p>
    <w:p>
      <w:pPr>
        <w:pStyle w:val="TextBody"/>
        <w:bidi w:val="0"/>
        <w:spacing w:before="0" w:after="0"/>
        <w:jc w:val="left"/>
        <w:rPr>
          <w:rFonts w:ascii="Times New Roman" w:hAnsi="Times New Roman"/>
          <w:sz w:val="20"/>
        </w:rPr>
      </w:pPr>
      <w:r>
        <w:rPr>
          <w:rFonts w:ascii="Times New Roman" w:hAnsi="Times New Roman"/>
          <w:sz w:val="20"/>
        </w:rPr>
      </w:r>
    </w:p>
    <w:tbl>
      <w:tblPr>
        <w:tblW w:w="3063" w:type="dxa"/>
        <w:jc w:val="left"/>
        <w:tblInd w:w="0" w:type="dxa"/>
        <w:tblLayout w:type="fixed"/>
        <w:tblCellMar>
          <w:top w:w="0" w:type="dxa"/>
          <w:left w:w="0" w:type="dxa"/>
          <w:bottom w:w="0" w:type="dxa"/>
          <w:right w:w="0" w:type="dxa"/>
        </w:tblCellMar>
      </w:tblPr>
      <w:tblGrid>
        <w:gridCol w:w="38"/>
        <w:gridCol w:w="245"/>
        <w:gridCol w:w="278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(k)</w:t>
            </w:r>
          </w:p>
        </w:tc>
        <w:tc>
          <w:tcPr>
            <w:tcW w:w="278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Impairment of Long-Lived Assets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Long-lived assets, such as property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 the carrying value exceeds its fair value. Fair value is determined through various valuation techniques, including discounted cash flow models, quoted market values and third-party independent appraisals, as considered necessary.</w:t>
      </w:r>
    </w:p>
    <w:p>
      <w:pPr>
        <w:pStyle w:val="TextBody"/>
        <w:bidi w:val="0"/>
        <w:spacing w:before="0" w:after="0"/>
        <w:jc w:val="left"/>
        <w:rPr>
          <w:rFonts w:ascii="Times New Roman" w:hAnsi="Times New Roman"/>
          <w:sz w:val="20"/>
        </w:rPr>
      </w:pPr>
      <w:r>
        <w:rPr>
          <w:rFonts w:ascii="Times New Roman" w:hAnsi="Times New Roman"/>
          <w:sz w:val="20"/>
        </w:rPr>
      </w:r>
    </w:p>
    <w:tbl>
      <w:tblPr>
        <w:tblW w:w="2553" w:type="dxa"/>
        <w:jc w:val="left"/>
        <w:tblInd w:w="0" w:type="dxa"/>
        <w:tblLayout w:type="fixed"/>
        <w:tblCellMar>
          <w:top w:w="0" w:type="dxa"/>
          <w:left w:w="0" w:type="dxa"/>
          <w:bottom w:w="0" w:type="dxa"/>
          <w:right w:w="0" w:type="dxa"/>
        </w:tblCellMar>
      </w:tblPr>
      <w:tblGrid>
        <w:gridCol w:w="38"/>
        <w:gridCol w:w="200"/>
        <w:gridCol w:w="231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(l)</w:t>
            </w:r>
          </w:p>
        </w:tc>
        <w:tc>
          <w:tcPr>
            <w:tcW w:w="231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Stock-Based Compensation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measures the cost of employee services received in exchange for stock-based compensation based on the grant date fair value of the employee stock award.  For stock option awards, the Company estimates grant date fair value using the Black-Scholes option pricing model.  For restricted stock unit awards, grant date fair value is determined based on the closing trading value of the Company’s stock on the date of grant. In both cases, stock-based compensation is recorded on a straight-line basis over the vesting period for the entire award.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tbl>
      <w:tblPr>
        <w:tblW w:w="1428" w:type="dxa"/>
        <w:jc w:val="left"/>
        <w:tblInd w:w="0" w:type="dxa"/>
        <w:tblLayout w:type="fixed"/>
        <w:tblCellMar>
          <w:top w:w="0" w:type="dxa"/>
          <w:left w:w="0" w:type="dxa"/>
          <w:bottom w:w="0" w:type="dxa"/>
          <w:right w:w="0" w:type="dxa"/>
        </w:tblCellMar>
      </w:tblPr>
      <w:tblGrid>
        <w:gridCol w:w="38"/>
        <w:gridCol w:w="290"/>
        <w:gridCol w:w="110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(m)</w:t>
            </w:r>
          </w:p>
        </w:tc>
        <w:tc>
          <w:tcPr>
            <w:tcW w:w="110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Cost of Sales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Cost of sales includes merchandise costs, inventory markdowns, shrinkage and transportation, distribution and warehousing costs, including depreciation</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and amortization</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4158" w:type="dxa"/>
        <w:jc w:val="left"/>
        <w:tblInd w:w="0" w:type="dxa"/>
        <w:tblLayout w:type="fixed"/>
        <w:tblCellMar>
          <w:top w:w="0" w:type="dxa"/>
          <w:left w:w="0" w:type="dxa"/>
          <w:bottom w:w="0" w:type="dxa"/>
          <w:right w:w="0" w:type="dxa"/>
        </w:tblCellMar>
      </w:tblPr>
      <w:tblGrid>
        <w:gridCol w:w="38"/>
        <w:gridCol w:w="245"/>
        <w:gridCol w:w="387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(n)</w:t>
            </w:r>
          </w:p>
        </w:tc>
        <w:tc>
          <w:tcPr>
            <w:tcW w:w="387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Selling, General, and Administrative Expenses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Selling, general, and administrative expenses (“SG&amp;A”) are comprised of payroll and benefits for stores, field support, and support center associates.  SG&amp;A also include marketing and advertising expense, occupancy costs for stores and the store support center, insurance, corporate infrastructure, and other general expenses.</w:t>
      </w:r>
    </w:p>
    <w:p>
      <w:pPr>
        <w:pStyle w:val="TextBody"/>
        <w:bidi w:val="0"/>
        <w:spacing w:before="0" w:after="0"/>
        <w:jc w:val="left"/>
        <w:rPr>
          <w:rFonts w:ascii="Times New Roman" w:hAnsi="Times New Roman"/>
          <w:sz w:val="20"/>
        </w:rPr>
      </w:pPr>
      <w:r>
        <w:rPr>
          <w:rFonts w:ascii="Times New Roman" w:hAnsi="Times New Roman"/>
          <w:sz w:val="20"/>
        </w:rPr>
      </w:r>
    </w:p>
    <w:tbl>
      <w:tblPr>
        <w:tblW w:w="1773" w:type="dxa"/>
        <w:jc w:val="left"/>
        <w:tblInd w:w="0" w:type="dxa"/>
        <w:tblLayout w:type="fixed"/>
        <w:tblCellMar>
          <w:top w:w="0" w:type="dxa"/>
          <w:left w:w="0" w:type="dxa"/>
          <w:bottom w:w="0" w:type="dxa"/>
          <w:right w:w="0" w:type="dxa"/>
        </w:tblCellMar>
      </w:tblPr>
      <w:tblGrid>
        <w:gridCol w:w="38"/>
        <w:gridCol w:w="245"/>
        <w:gridCol w:w="149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(o)</w:t>
            </w:r>
          </w:p>
        </w:tc>
        <w:tc>
          <w:tcPr>
            <w:tcW w:w="149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Advertising Costs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 xml:space="preserve">Advertising costs primarily consist of print flyers, digital media, email campaigns, and media broadcasts and are generally expensed the first time the advertising occurs. Advertising expense </w:t>
      </w:r>
      <w:r>
        <w:rPr>
          <w:rFonts w:ascii="Times New Roman" w:hAnsi="Times New Roman"/>
          <w:b w:val="false"/>
          <w:i w:val="false"/>
          <w:caps w:val="false"/>
          <w:smallCaps w:val="false"/>
          <w:color w:val="000000"/>
          <w:spacing w:val="0"/>
          <w:sz w:val="20"/>
          <w:shd w:fill="FFFFFF" w:val="clear"/>
        </w:rPr>
        <w:t>for 2023, 2022, and 2021 was</w:t>
      </w:r>
      <w:r>
        <w:rPr>
          <w:rFonts w:ascii="Times New Roman" w:hAnsi="Times New Roman"/>
          <w:b w:val="false"/>
          <w:i w:val="false"/>
          <w:caps w:val="false"/>
          <w:smallCaps w:val="false"/>
          <w:color w:val="000000"/>
          <w:sz w:val="20"/>
          <w:shd w:fill="FFFFFF" w:val="clear"/>
        </w:rPr>
        <w:t xml:space="preserve"> $64.5 million, $62.4 million, and $52.2 million, respectively</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1758" w:type="dxa"/>
        <w:jc w:val="left"/>
        <w:tblInd w:w="0" w:type="dxa"/>
        <w:tblLayout w:type="fixed"/>
        <w:tblCellMar>
          <w:top w:w="0" w:type="dxa"/>
          <w:left w:w="0" w:type="dxa"/>
          <w:bottom w:w="0" w:type="dxa"/>
          <w:right w:w="0" w:type="dxa"/>
        </w:tblCellMar>
      </w:tblPr>
      <w:tblGrid>
        <w:gridCol w:w="38"/>
        <w:gridCol w:w="245"/>
        <w:gridCol w:w="147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(p)</w:t>
            </w:r>
          </w:p>
        </w:tc>
        <w:tc>
          <w:tcPr>
            <w:tcW w:w="147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Operating Leases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generally leases its store locations, distribution centers and office facilities. Many of the lease agreements contain rent holidays, rent escalation clauses and contingent rent provisions – or some combination of these items.  For leases of store locations and the store support centers, the Company recognizes rent expense in SG&amp;A.  For leases of distribution centers, the Company recognizes rent expense within cost of sales.  All rent expense is recorded on a straight-line basis over the accounting lease term, which includes lease renewals determined to be reasonably certain.</w:t>
      </w:r>
    </w:p>
    <w:p>
      <w:pPr>
        <w:pStyle w:val="TextBody"/>
        <w:bidi w:val="0"/>
        <w:spacing w:before="0" w:after="0"/>
        <w:ind w:left="1080" w:right="0" w:hanging="0"/>
        <w:jc w:val="both"/>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recognizes operating lease assets and liabilities at the lease commencement date in accordance with ASC 842, Leases (Topic 842).  Operating lease liabilities represent the present value of lease payments not yet paid.  Operating lease assets represent the Company’s right to use an underlying asset for the lease term.  The Company’s lessors do not provide an implicit rate, nor is one readily available, therefore the Company uses its incremental borrowing rate based on the portfolio approach, which applies one rate to leases within a given period. The incremental borrowing rate is used to discount future cash flows and is an estimate which is determined by an analysis of the rate of interest it would have to pay on a collateralized basis to borrow an amount equal to the lease payments under similar terms and current market conditions.</w:t>
      </w:r>
    </w:p>
    <w:p>
      <w:pPr>
        <w:pStyle w:val="TextBody"/>
        <w:bidi w:val="0"/>
        <w:spacing w:before="0" w:after="0"/>
        <w:jc w:val="left"/>
        <w:rPr>
          <w:rFonts w:ascii="Times New Roman" w:hAnsi="Times New Roman"/>
          <w:sz w:val="20"/>
        </w:rPr>
      </w:pPr>
      <w:r>
        <w:rPr>
          <w:rFonts w:ascii="Times New Roman" w:hAnsi="Times New Roman"/>
          <w:sz w:val="20"/>
        </w:rPr>
      </w:r>
    </w:p>
    <w:tbl>
      <w:tblPr>
        <w:tblW w:w="2193" w:type="dxa"/>
        <w:jc w:val="left"/>
        <w:tblInd w:w="0" w:type="dxa"/>
        <w:tblLayout w:type="fixed"/>
        <w:tblCellMar>
          <w:top w:w="0" w:type="dxa"/>
          <w:left w:w="0" w:type="dxa"/>
          <w:bottom w:w="0" w:type="dxa"/>
          <w:right w:w="0" w:type="dxa"/>
        </w:tblCellMar>
      </w:tblPr>
      <w:tblGrid>
        <w:gridCol w:w="38"/>
        <w:gridCol w:w="245"/>
        <w:gridCol w:w="191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(q)</w:t>
            </w:r>
          </w:p>
        </w:tc>
        <w:tc>
          <w:tcPr>
            <w:tcW w:w="191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Pre-Opening Expenses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Pre-opening expenses consist of expenses of opening new stores and distribution centers, as well as store remodel and store closing costs.  For opening new stores, pre-opening expenses include grand opening advertising costs, payroll expenses, travel expenses, employee training costs, rent expenses, and store setup costs.  Pre-opening expenses for new stores are expensed as they are incurred, which is typically within 30 to 45 days of opening a new store. For opening distribution centers, pre-opening expenses primarily include inventory transportation costs, employee travel expenses, and occupancy costs. Store remodel costs primarily consist of payroll expenses, travel expenses, and store setup costs expensed as they are incurred. Store closing costs primarily consist of insurance deductibles, rent, and store payroll.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tbl>
      <w:tblPr>
        <w:tblW w:w="2388" w:type="dxa"/>
        <w:jc w:val="left"/>
        <w:tblInd w:w="0" w:type="dxa"/>
        <w:tblLayout w:type="fixed"/>
        <w:tblCellMar>
          <w:top w:w="0" w:type="dxa"/>
          <w:left w:w="0" w:type="dxa"/>
          <w:bottom w:w="0" w:type="dxa"/>
          <w:right w:w="0" w:type="dxa"/>
        </w:tblCellMar>
      </w:tblPr>
      <w:tblGrid>
        <w:gridCol w:w="38"/>
        <w:gridCol w:w="215"/>
        <w:gridCol w:w="2135"/>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(r)</w:t>
            </w:r>
          </w:p>
        </w:tc>
        <w:tc>
          <w:tcPr>
            <w:tcW w:w="213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Self</w:t>
              <w:noBreakHyphen/>
              <w:t>Insurance Liabilities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Under a number of the Company’s insurance programs, which include the Company’s employee health insurance program, its workers’ compensation and general liability insurance programs, the Company is liable for a portion of its losses. The Company estimates the accrued liabilities for its self-insurance programs using historical claims experience and loss reserves. To limit the Company’s exposure to losses, a stop</w:t>
        <w:noBreakHyphen/>
        <w:t>loss coverage is maintained through third</w:t>
        <w:noBreakHyphen/>
        <w:t>party insurers.</w:t>
      </w:r>
    </w:p>
    <w:p>
      <w:pPr>
        <w:pStyle w:val="TextBody"/>
        <w:bidi w:val="0"/>
        <w:spacing w:before="0" w:after="0"/>
        <w:jc w:val="left"/>
        <w:rPr>
          <w:rFonts w:ascii="Times New Roman" w:hAnsi="Times New Roman"/>
          <w:sz w:val="20"/>
        </w:rPr>
      </w:pPr>
      <w:r>
        <w:rPr>
          <w:rFonts w:ascii="Times New Roman" w:hAnsi="Times New Roman"/>
          <w:sz w:val="20"/>
        </w:rPr>
      </w:r>
    </w:p>
    <w:tbl>
      <w:tblPr>
        <w:tblW w:w="1443" w:type="dxa"/>
        <w:jc w:val="left"/>
        <w:tblInd w:w="0" w:type="dxa"/>
        <w:tblLayout w:type="fixed"/>
        <w:tblCellMar>
          <w:top w:w="0" w:type="dxa"/>
          <w:left w:w="0" w:type="dxa"/>
          <w:bottom w:w="0" w:type="dxa"/>
          <w:right w:w="0" w:type="dxa"/>
        </w:tblCellMar>
      </w:tblPr>
      <w:tblGrid>
        <w:gridCol w:w="38"/>
        <w:gridCol w:w="215"/>
        <w:gridCol w:w="1190"/>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(s)</w:t>
            </w:r>
          </w:p>
        </w:tc>
        <w:tc>
          <w:tcPr>
            <w:tcW w:w="119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Income Taxes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Company recognizes the effect of income tax positions only if those positions are more likely than not of being sustained. Recognized income tax positions are measured at the largest amount that is greater than 50% likely of being realized.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Ollie’s files consolidated federal and state income tax returns. For tax years prior to 2018, the Company is no longer subject to U.S. federal income tax examinations. State income tax returns are filed in various state tax jurisdictions, as appropriate, with varying statutes of limitation and remain subject to examination for varying periods up to three to four years depending on the state.</w:t>
      </w:r>
    </w:p>
    <w:p>
      <w:pPr>
        <w:pStyle w:val="TextBody"/>
        <w:bidi w:val="0"/>
        <w:spacing w:before="0" w:after="0"/>
        <w:jc w:val="left"/>
        <w:rPr>
          <w:rFonts w:ascii="Times New Roman" w:hAnsi="Times New Roman"/>
          <w:sz w:val="20"/>
        </w:rPr>
      </w:pPr>
      <w:r>
        <w:rPr>
          <w:rFonts w:ascii="Times New Roman" w:hAnsi="Times New Roman"/>
          <w:sz w:val="20"/>
        </w:rPr>
      </w:r>
    </w:p>
    <w:tbl>
      <w:tblPr>
        <w:tblW w:w="2673" w:type="dxa"/>
        <w:jc w:val="left"/>
        <w:tblInd w:w="0" w:type="dxa"/>
        <w:tblLayout w:type="fixed"/>
        <w:tblCellMar>
          <w:top w:w="0" w:type="dxa"/>
          <w:left w:w="0" w:type="dxa"/>
          <w:bottom w:w="0" w:type="dxa"/>
          <w:right w:w="0" w:type="dxa"/>
        </w:tblCellMar>
      </w:tblPr>
      <w:tblGrid>
        <w:gridCol w:w="38"/>
        <w:gridCol w:w="200"/>
        <w:gridCol w:w="243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(t)</w:t>
            </w:r>
          </w:p>
        </w:tc>
        <w:tc>
          <w:tcPr>
            <w:tcW w:w="24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Earnings per Common Share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Basic earnings per common share is computed by dividing net income by the weighted average number of common shares outstanding. Diluted earnings per common share is computed by dividing net income by the weighted average number of common shares outstanding, after giving effect to the potential dilution, if applicable, from the assumed exercise of stock options into shares of common stock as if those stock options were exercised and the assumed lapse of restrictions on restricted stock units.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those effects for the diluted earnings per common share calculation:</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9125" w:type="dxa"/>
        <w:jc w:val="left"/>
        <w:tblInd w:w="1080" w:type="dxa"/>
        <w:tblLayout w:type="fixed"/>
        <w:tblCellMar>
          <w:top w:w="0" w:type="dxa"/>
          <w:left w:w="0" w:type="dxa"/>
          <w:bottom w:w="0" w:type="dxa"/>
          <w:right w:w="0" w:type="dxa"/>
        </w:tblCellMar>
      </w:tblPr>
      <w:tblGrid>
        <w:gridCol w:w="5943"/>
        <w:gridCol w:w="60"/>
        <w:gridCol w:w="86"/>
        <w:gridCol w:w="864"/>
        <w:gridCol w:w="60"/>
        <w:gridCol w:w="60"/>
        <w:gridCol w:w="84"/>
        <w:gridCol w:w="842"/>
        <w:gridCol w:w="60"/>
        <w:gridCol w:w="60"/>
        <w:gridCol w:w="84"/>
        <w:gridCol w:w="842"/>
        <w:gridCol w:w="80"/>
      </w:tblGrid>
      <w:tr>
        <w:trPr/>
        <w:tc>
          <w:tcPr>
            <w:tcW w:w="5943"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042"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Fiscal year ended</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9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0" w:type="dxa"/>
            <w:gridSpan w:val="2"/>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February 3,</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26" w:type="dxa"/>
            <w:gridSpan w:val="2"/>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January 28,</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26" w:type="dxa"/>
            <w:gridSpan w:val="2"/>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January 29,</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9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2024</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2023</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943"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3042" w:type="dxa"/>
            <w:gridSpan w:val="10"/>
            <w:tcBorders/>
            <w:vAlign w:val="center"/>
          </w:tcPr>
          <w:p>
            <w:pPr>
              <w:pStyle w:val="TableContents"/>
              <w:bidi w:val="0"/>
              <w:spacing w:before="0" w:after="283"/>
              <w:jc w:val="center"/>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(in thousands)</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943"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number of common shares outstanding – Basic</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4"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61,741</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42"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62,495</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42"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64,447</w:t>
            </w:r>
          </w:p>
        </w:tc>
        <w:tc>
          <w:tcPr>
            <w:tcW w:w="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943"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Incremental shares from the assumed exercise of outstanding stock options and vesting of restricted stock units</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6"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327</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4"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4" w:type="dxa"/>
            <w:tcBorders>
              <w:bottom w:val="single" w:sz="12" w:space="0" w:color="000000"/>
            </w:tcBorders>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431</w:t>
            </w:r>
          </w:p>
        </w:tc>
        <w:tc>
          <w:tcPr>
            <w:tcW w:w="8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943"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number of common shares outstanding – Diluted</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6" w:type="dxa"/>
            <w:tcBorders>
              <w:bottom w:val="double" w:sz="8"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62,068</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4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62,704</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4" w:type="dxa"/>
            <w:tcBorders>
              <w:bottom w:val="double" w:sz="8" w:space="0" w:color="000000"/>
            </w:tcBorders>
            <w:shd w:fill="CCEEFF" w:val="clear"/>
            <w:tcMar>
              <w:bottom w:w="28"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4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64,878</w:t>
            </w:r>
          </w:p>
        </w:tc>
        <w:tc>
          <w:tcPr>
            <w:tcW w:w="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1080" w:right="0" w:hanging="0"/>
        <w:jc w:val="left"/>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effect of the weighted average assumed exercise of stock options outstanding totaling 582,645, 858,413, and 425,718 </w:t>
      </w:r>
      <w:r>
        <w:rPr>
          <w:rFonts w:ascii="Times New Roman" w:hAnsi="Times New Roman"/>
          <w:b w:val="false"/>
          <w:i w:val="false"/>
          <w:caps w:val="false"/>
          <w:smallCaps w:val="false"/>
          <w:color w:val="000000"/>
          <w:spacing w:val="0"/>
          <w:sz w:val="20"/>
          <w:shd w:fill="FFFFFF" w:val="clear"/>
        </w:rPr>
        <w:t>as of February 3, 2024, January 28, 2023, and January 29, 2022, respectively</w:t>
      </w:r>
      <w:r>
        <w:rPr>
          <w:rFonts w:ascii="Times New Roman" w:hAnsi="Times New Roman"/>
          <w:color w:val="000000"/>
          <w:sz w:val="20"/>
          <w:shd w:fill="FFFFFF" w:val="clear"/>
        </w:rPr>
        <w:t>, were excluded from the calculation of diluted weighted average common shares outstanding because the effect would have been antidilutive.</w:t>
      </w:r>
    </w:p>
    <w:p>
      <w:pPr>
        <w:pStyle w:val="TextBody"/>
        <w:bidi w:val="0"/>
        <w:spacing w:before="0" w:after="0"/>
        <w:ind w:left="1080" w:right="0" w:hanging="0"/>
        <w:jc w:val="both"/>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effect of weighted average non-vested restricted stock units outstanding totaling 11,717, 39,342, and 22,546 as </w:t>
      </w:r>
      <w:r>
        <w:rPr>
          <w:rFonts w:ascii="Times New Roman" w:hAnsi="Times New Roman"/>
          <w:b w:val="false"/>
          <w:i w:val="false"/>
          <w:caps w:val="false"/>
          <w:smallCaps w:val="false"/>
          <w:color w:val="000000"/>
          <w:spacing w:val="0"/>
          <w:sz w:val="20"/>
          <w:shd w:fill="FFFFFF" w:val="clear"/>
        </w:rPr>
        <w:t>of February 3, 2024, January 28, 2023, and January 29, 2022, respectively</w:t>
      </w:r>
      <w:r>
        <w:rPr>
          <w:rFonts w:ascii="Times New Roman" w:hAnsi="Times New Roman"/>
          <w:color w:val="000000"/>
          <w:sz w:val="20"/>
          <w:shd w:fill="FFFFFF" w:val="clear"/>
        </w:rPr>
        <w:t>, were excluded from the calculation of diluted weighted average common shares outstanding because the effect would have been antidilutive.</w:t>
      </w:r>
    </w:p>
    <w:p>
      <w:pPr>
        <w:pStyle w:val="TextBody"/>
        <w:bidi w:val="0"/>
        <w:spacing w:before="0" w:after="0"/>
        <w:ind w:left="1080"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tbl>
      <w:tblPr>
        <w:tblW w:w="3498" w:type="dxa"/>
        <w:jc w:val="left"/>
        <w:tblInd w:w="0" w:type="dxa"/>
        <w:tblLayout w:type="fixed"/>
        <w:tblCellMar>
          <w:top w:w="0" w:type="dxa"/>
          <w:left w:w="0" w:type="dxa"/>
          <w:bottom w:w="0" w:type="dxa"/>
          <w:right w:w="0" w:type="dxa"/>
        </w:tblCellMar>
      </w:tblPr>
      <w:tblGrid>
        <w:gridCol w:w="38"/>
        <w:gridCol w:w="245"/>
        <w:gridCol w:w="3215"/>
      </w:tblGrid>
      <w:tr>
        <w:trPr/>
        <w:tc>
          <w:tcPr>
            <w:tcW w:w="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r>
          </w:p>
        </w:tc>
        <w:tc>
          <w:tcPr>
            <w:tcW w:w="245" w:type="dxa"/>
            <w:tcBorders/>
            <w:vAlign w:val="center"/>
          </w:tcPr>
          <w:p>
            <w:pPr>
              <w:pStyle w:val="TableContents"/>
              <w:bidi w:val="0"/>
              <w:spacing w:before="0" w:after="283"/>
              <w:jc w:val="left"/>
              <w:rPr>
                <w:rFonts w:ascii="Times New Roman" w:hAnsi="Times New Roman"/>
                <w:b/>
                <w:i/>
                <w:sz w:val="20"/>
              </w:rPr>
            </w:pPr>
            <w:r>
              <w:rPr>
                <w:rFonts w:ascii="Times New Roman" w:hAnsi="Times New Roman"/>
                <w:b/>
                <w:i/>
                <w:sz w:val="20"/>
              </w:rPr>
              <w:t>(u)</w:t>
            </w:r>
          </w:p>
        </w:tc>
        <w:tc>
          <w:tcPr>
            <w:tcW w:w="321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Recently Issued Accounting Standards</w:t>
            </w:r>
          </w:p>
        </w:tc>
      </w:tr>
    </w:tbl>
    <w:p>
      <w:pPr>
        <w:pStyle w:val="TextBody"/>
        <w:bidi w:val="0"/>
        <w:spacing w:before="0" w:after="0"/>
        <w:ind w:left="1080" w:right="0" w:hanging="0"/>
        <w:jc w:val="both"/>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November 2023, the Financial Accounting Standards Board (“FASB”) issued Accounting Standards Update (“ASU”) 2023-07, “Improvements to Reportable Segment Disclosures,” which modifies reportable segment disclosure requirements. This ASU expands annual and interim reportable segment disclosures, including: disclosure of the title and position of our chief operating decision maker (“CODM”), interim and annual disclosure of significant reportable segment expenses that are components of segment profit or loss information provided to the CODM, and interim disclosure of all annual reportable segment profit or loss and asset data currently only required to be disclosed annually. This guidance is effective for annual periods beginning after December 15, 2023 and interim periods within fiscal years beginning after December 15, 2024. The adoption of this standard is not expected to have an impact on our financial statements the Company is comprised of one operating segment.</w:t>
      </w:r>
    </w:p>
    <w:p>
      <w:pPr>
        <w:pStyle w:val="TextBody"/>
        <w:bidi w:val="0"/>
        <w:spacing w:before="0" w:after="0"/>
        <w:ind w:left="1080" w:right="0" w:hanging="0"/>
        <w:jc w:val="both"/>
        <w:rPr>
          <w:rFonts w:ascii="Times New Roman" w:hAnsi="Times New Roman"/>
          <w:sz w:val="20"/>
        </w:rPr>
      </w:pPr>
      <w:r>
        <w:rPr>
          <w:rFonts w:ascii="Times New Roman" w:hAnsi="Times New Roman"/>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December 2023, the FASB issued ASU 2023-09, “Improvements to Income Tax Disclosures,” which modifies the disclosure requirements for income taxes. This ASU requires disclosure of tabular statutory to effective rate reconciliation in both percentages and dollars, additional disaggregated rate reconciliation categories and disaggregation of both income taxes paid and income tax expense by jurisdiction. This guidance is effective for annual periods beginning after December 15, 2024. We expect this ASU to only impact our disclosures with no impact to our result of operations, cash flows and financial condition.</w:t>
      </w:r>
    </w:p>
    <w:p>
      <w:pPr>
        <w:pStyle w:val="TextBody"/>
        <w:bidi w:val="0"/>
        <w:spacing w:before="0" w:after="0"/>
        <w:jc w:val="left"/>
        <w:rPr>
          <w:rFonts w:ascii="Times New Roman" w:hAnsi="Times New Roman"/>
          <w:sz w:val="20"/>
        </w:rPr>
      </w:pPr>
      <w:r>
        <w:rPr>
          <w:rFonts w:ascii="Times New Roman" w:hAnsi="Times New Roman"/>
          <w:sz w:val="20"/>
        </w:rPr>
      </w:r>
    </w:p>
    <w:tbl>
      <w:tblPr>
        <w:tblW w:w="1060" w:type="dxa"/>
        <w:jc w:val="left"/>
        <w:tblInd w:w="0" w:type="dxa"/>
        <w:tblLayout w:type="fixed"/>
        <w:tblCellMar>
          <w:top w:w="0" w:type="dxa"/>
          <w:left w:w="0" w:type="dxa"/>
          <w:bottom w:w="0" w:type="dxa"/>
          <w:right w:w="0" w:type="dxa"/>
        </w:tblCellMar>
      </w:tblPr>
      <w:tblGrid>
        <w:gridCol w:w="260"/>
        <w:gridCol w:w="80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(2)</w:t>
            </w:r>
          </w:p>
        </w:tc>
        <w:tc>
          <w:tcPr>
            <w:tcW w:w="80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Net Sales</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7" w:right="0" w:hanging="0"/>
        <w:jc w:val="both"/>
        <w:rPr>
          <w:rFonts w:ascii="Times New Roman" w:hAnsi="Times New Roman"/>
          <w:color w:val="000000"/>
          <w:sz w:val="20"/>
          <w:shd w:fill="FFFFFF" w:val="clear"/>
        </w:rPr>
      </w:pPr>
      <w:r>
        <w:rPr>
          <w:rFonts w:ascii="Times New Roman" w:hAnsi="Times New Roman"/>
          <w:color w:val="000000"/>
          <w:sz w:val="20"/>
          <w:shd w:fill="FFFFFF" w:val="clear"/>
        </w:rPr>
        <w:t>Ollie’s recognizes retail sales in its stores when merchandise is sold and the customer takes possession of merchandise.  Also included in net sales is revenue allocated to certain redeemed discounts earned via the Ollie’s Army loyalty program and gift card breakage.  Net sales are presented net of returns and sales tax. The Company provides an allowance for estimated retail merchandise returns based on prior experience.</w:t>
      </w:r>
    </w:p>
    <w:p>
      <w:pPr>
        <w:pStyle w:val="TextBody"/>
        <w:bidi w:val="0"/>
        <w:spacing w:before="0" w:after="0"/>
        <w:ind w:left="540" w:right="0" w:hanging="0"/>
        <w:jc w:val="left"/>
        <w:rPr>
          <w:rFonts w:ascii="Times New Roman" w:hAnsi="Times New Roman"/>
          <w:i/>
          <w:sz w:val="20"/>
        </w:rPr>
      </w:pPr>
      <w:r>
        <w:rPr>
          <w:rFonts w:ascii="Times New Roman" w:hAnsi="Times New Roman"/>
          <w:i/>
          <w:sz w:val="20"/>
        </w:rPr>
      </w:r>
    </w:p>
    <w:p>
      <w:pPr>
        <w:pStyle w:val="TextBody"/>
        <w:bidi w:val="0"/>
        <w:spacing w:before="0" w:after="0"/>
        <w:ind w:left="54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Revenue Recognition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Revenue is deferred for the Ollie’s Army loyalty program where members accumulate points that can be redeemed for discounts on future purchases.  The Company has determined it has an additional performance obligation to Ollie’s Army members at the time of the initial transaction.  The Company allocates the transaction price to the initial transaction and the discount awards based upon its relative standalone selling price, which considers historical redemption patterns for the award.  Revenue is recognized as those discount awards are redeemed.  Discount awards issued upon the achievement of specified point levels are subject to expiration.  Unless temporarily extended, the maximum redemption period is 45 days.  At the end of each fiscal period, unredeemed discount awards and accumulated points to earn a future discount award are reflected as a liability.  Discount awards are combined in one homogeneous pool and are not separately identifiable.  Therefore, the revenue recognized consists of discount awards redeemed that were included in the deferred revenue balance at the beginning of the period as well as discount awards issued during the current period.  The following table is a reconciliation of the liability related to this program:</w:t>
      </w:r>
    </w:p>
    <w:p>
      <w:pPr>
        <w:pStyle w:val="TextBody"/>
        <w:bidi w:val="0"/>
        <w:spacing w:before="0" w:after="0"/>
        <w:jc w:val="left"/>
        <w:rPr>
          <w:rFonts w:ascii="Times New Roman" w:hAnsi="Times New Roman"/>
        </w:rPr>
      </w:pPr>
      <w:r>
        <w:rPr>
          <w:rFonts w:ascii="Times New Roman" w:hAnsi="Times New Roman"/>
        </w:rPr>
      </w:r>
    </w:p>
    <w:tbl>
      <w:tblPr>
        <w:tblW w:w="5552" w:type="dxa"/>
        <w:jc w:val="left"/>
        <w:tblInd w:w="600" w:type="dxa"/>
        <w:tblLayout w:type="fixed"/>
        <w:tblCellMar>
          <w:top w:w="0" w:type="dxa"/>
          <w:left w:w="0" w:type="dxa"/>
          <w:bottom w:w="0" w:type="dxa"/>
          <w:right w:w="0" w:type="dxa"/>
        </w:tblCellMar>
      </w:tblPr>
      <w:tblGrid>
        <w:gridCol w:w="1700"/>
        <w:gridCol w:w="60"/>
        <w:gridCol w:w="164"/>
        <w:gridCol w:w="860"/>
        <w:gridCol w:w="80"/>
        <w:gridCol w:w="60"/>
        <w:gridCol w:w="217"/>
        <w:gridCol w:w="1137"/>
        <w:gridCol w:w="80"/>
        <w:gridCol w:w="60"/>
        <w:gridCol w:w="167"/>
        <w:gridCol w:w="872"/>
        <w:gridCol w:w="95"/>
      </w:tblGrid>
      <w:tr>
        <w:trPr/>
        <w:tc>
          <w:tcPr>
            <w:tcW w:w="170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69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Fiscal year ended</w:t>
            </w:r>
          </w:p>
        </w:tc>
        <w:tc>
          <w:tcPr>
            <w:tcW w:w="9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January 29,</w:t>
            </w:r>
          </w:p>
        </w:tc>
        <w:tc>
          <w:tcPr>
            <w:tcW w:w="9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24"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54" w:type="dxa"/>
            <w:gridSpan w:val="2"/>
            <w:tcBorders/>
            <w:vAlign w:val="bottom"/>
          </w:tcPr>
          <w:p>
            <w:pPr>
              <w:pStyle w:val="TableContents"/>
              <w:bidi w:val="0"/>
              <w:spacing w:before="0" w:after="283"/>
              <w:jc w:val="center"/>
              <w:rPr>
                <w:rFonts w:ascii="Times New Roman" w:hAnsi="Times New Roman"/>
              </w:rPr>
            </w:pPr>
            <w:r>
              <w:rPr>
                <w:rFonts w:ascii="Times New Roman" w:hAnsi="Times New Roman"/>
              </w:rPr>
              <w:t>(in thousands)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39"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8,113</w:t>
            </w:r>
          </w:p>
        </w:tc>
        <w:tc>
          <w:tcPr>
            <w:tcW w:w="95"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Revenue deferred</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16,141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15,290</w:t>
            </w:r>
          </w:p>
        </w:tc>
        <w:tc>
          <w:tcPr>
            <w:tcW w:w="95"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Revenue recognized</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(14,112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(14,098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(15,621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70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16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7,782</w:t>
            </w:r>
          </w:p>
        </w:tc>
        <w:tc>
          <w:tcPr>
            <w:tcW w:w="95" w:type="dxa"/>
            <w:tcBorders/>
            <w:vAlign w:val="bottom"/>
          </w:tcPr>
          <w:p>
            <w:pPr>
              <w:pStyle w:val="TableContents"/>
              <w:bidi w:val="0"/>
              <w:spacing w:before="0" w:after="283"/>
              <w:jc w:val="left"/>
              <w:rPr/>
            </w:pPr>
            <w:r>
              <w:rPr/>
              <w:t> </w:t>
            </w:r>
          </w:p>
        </w:tc>
      </w:tr>
    </w:tbl>
    <w:p>
      <w:pPr>
        <w:pStyle w:val="TextBody"/>
        <w:bidi w:val="0"/>
        <w:spacing w:before="0" w:after="0"/>
        <w:ind w:left="600" w:right="0" w:hanging="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Gift card breakage for gift card liabilities not subject to escheatment is recognized as revenue in proportion to the redemption of gift cards. Gift cards do not expire. The rate applied to redemptions is based upon a historical breakage rate. Gift cards are combined in one homogenous pool and are not separately identifiable.  Therefore, the revenue recognized consists of gift cards that were included in the liability at the beginning of the period as well as gift cards that were issued during the period.  The following table is a reconciliation of the gift card liability:</w:t>
      </w:r>
    </w:p>
    <w:p>
      <w:pPr>
        <w:pStyle w:val="TextBody"/>
        <w:bidi w:val="0"/>
        <w:spacing w:before="0" w:after="0"/>
        <w:jc w:val="left"/>
        <w:rPr>
          <w:rFonts w:ascii="Times New Roman" w:hAnsi="Times New Roman"/>
        </w:rPr>
      </w:pPr>
      <w:r>
        <w:rPr>
          <w:rFonts w:ascii="Times New Roman" w:hAnsi="Times New Roman"/>
        </w:rPr>
      </w:r>
    </w:p>
    <w:tbl>
      <w:tblPr>
        <w:tblW w:w="6692" w:type="dxa"/>
        <w:jc w:val="left"/>
        <w:tblInd w:w="600" w:type="dxa"/>
        <w:tblLayout w:type="fixed"/>
        <w:tblCellMar>
          <w:top w:w="0" w:type="dxa"/>
          <w:left w:w="0" w:type="dxa"/>
          <w:bottom w:w="0" w:type="dxa"/>
          <w:right w:w="0" w:type="dxa"/>
        </w:tblCellMar>
      </w:tblPr>
      <w:tblGrid>
        <w:gridCol w:w="2840"/>
        <w:gridCol w:w="60"/>
        <w:gridCol w:w="190"/>
        <w:gridCol w:w="834"/>
        <w:gridCol w:w="80"/>
        <w:gridCol w:w="60"/>
        <w:gridCol w:w="251"/>
        <w:gridCol w:w="1103"/>
        <w:gridCol w:w="80"/>
        <w:gridCol w:w="60"/>
        <w:gridCol w:w="193"/>
        <w:gridCol w:w="846"/>
        <w:gridCol w:w="95"/>
      </w:tblGrid>
      <w:tr>
        <w:trPr/>
        <w:tc>
          <w:tcPr>
            <w:tcW w:w="284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69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Fiscal year ended</w:t>
            </w:r>
          </w:p>
        </w:tc>
        <w:tc>
          <w:tcPr>
            <w:tcW w:w="95"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January 29,</w:t>
            </w:r>
          </w:p>
        </w:tc>
        <w:tc>
          <w:tcPr>
            <w:tcW w:w="95"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24"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54" w:type="dxa"/>
            <w:gridSpan w:val="2"/>
            <w:tcBorders/>
            <w:vAlign w:val="bottom"/>
          </w:tcPr>
          <w:p>
            <w:pPr>
              <w:pStyle w:val="TableContents"/>
              <w:bidi w:val="0"/>
              <w:spacing w:before="0" w:after="283"/>
              <w:jc w:val="center"/>
              <w:rPr>
                <w:rFonts w:ascii="Times New Roman" w:hAnsi="Times New Roman"/>
              </w:rPr>
            </w:pPr>
            <w:r>
              <w:rPr>
                <w:rFonts w:ascii="Times New Roman" w:hAnsi="Times New Roman"/>
              </w:rPr>
              <w:t>(in thousands)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39"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1,902</w:t>
            </w:r>
          </w:p>
        </w:tc>
        <w:tc>
          <w:tcPr>
            <w:tcW w:w="9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Gift card issuances</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5,433</w:t>
            </w:r>
          </w:p>
        </w:tc>
        <w:tc>
          <w:tcPr>
            <w:tcW w:w="9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Gift card redemption and breakage</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(5,027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(4,712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(5,044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4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2,291</w:t>
            </w:r>
          </w:p>
        </w:tc>
        <w:tc>
          <w:tcPr>
            <w:tcW w:w="95" w:type="dxa"/>
            <w:tcBorders/>
            <w:vAlign w:val="bottom"/>
          </w:tcPr>
          <w:p>
            <w:pPr>
              <w:pStyle w:val="TableContents"/>
              <w:bidi w:val="0"/>
              <w:spacing w:before="0" w:after="283"/>
              <w:jc w:val="left"/>
              <w:rPr/>
            </w:pPr>
            <w:r>
              <w:rPr/>
              <w:t> </w:t>
            </w:r>
          </w:p>
        </w:tc>
      </w:tr>
    </w:tbl>
    <w:p>
      <w:pPr>
        <w:pStyle w:val="TextBody"/>
        <w:bidi w:val="0"/>
        <w:spacing w:before="0" w:after="0"/>
        <w:ind w:left="600" w:right="0" w:hanging="0"/>
        <w:jc w:val="left"/>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Sales return allowance is recorded on a gross basis on the consolidated balance sheets as a refund liability and an asset for recovery.  The allowance for estimated retail merchandise returns is based on prior experience. The following table provides a reconciliation of the activity related to the Company’s sales returns allowance:</w:t>
      </w:r>
    </w:p>
    <w:p>
      <w:pPr>
        <w:pStyle w:val="TextBody"/>
        <w:bidi w:val="0"/>
        <w:spacing w:before="0" w:after="0"/>
        <w:jc w:val="left"/>
        <w:rPr>
          <w:rFonts w:ascii="Times New Roman" w:hAnsi="Times New Roman"/>
        </w:rPr>
      </w:pPr>
      <w:r>
        <w:rPr>
          <w:rFonts w:ascii="Times New Roman" w:hAnsi="Times New Roman"/>
        </w:rPr>
      </w:r>
    </w:p>
    <w:tbl>
      <w:tblPr>
        <w:tblW w:w="5432" w:type="dxa"/>
        <w:jc w:val="left"/>
        <w:tblInd w:w="600" w:type="dxa"/>
        <w:tblLayout w:type="fixed"/>
        <w:tblCellMar>
          <w:top w:w="0" w:type="dxa"/>
          <w:left w:w="0" w:type="dxa"/>
          <w:bottom w:w="0" w:type="dxa"/>
          <w:right w:w="0" w:type="dxa"/>
        </w:tblCellMar>
      </w:tblPr>
      <w:tblGrid>
        <w:gridCol w:w="1580"/>
        <w:gridCol w:w="60"/>
        <w:gridCol w:w="164"/>
        <w:gridCol w:w="860"/>
        <w:gridCol w:w="80"/>
        <w:gridCol w:w="60"/>
        <w:gridCol w:w="217"/>
        <w:gridCol w:w="1137"/>
        <w:gridCol w:w="80"/>
        <w:gridCol w:w="60"/>
        <w:gridCol w:w="167"/>
        <w:gridCol w:w="872"/>
        <w:gridCol w:w="95"/>
      </w:tblGrid>
      <w:tr>
        <w:trPr/>
        <w:tc>
          <w:tcPr>
            <w:tcW w:w="15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69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Fiscal year ended</w:t>
            </w:r>
          </w:p>
        </w:tc>
        <w:tc>
          <w:tcPr>
            <w:tcW w:w="95"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29,</w:t>
            </w:r>
          </w:p>
        </w:tc>
        <w:tc>
          <w:tcPr>
            <w:tcW w:w="95"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24"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54" w:type="dxa"/>
            <w:gridSpan w:val="2"/>
            <w:tcBorders/>
            <w:vAlign w:val="bottom"/>
          </w:tcPr>
          <w:p>
            <w:pPr>
              <w:pStyle w:val="TableContents"/>
              <w:bidi w:val="0"/>
              <w:spacing w:before="0" w:after="283"/>
              <w:jc w:val="center"/>
              <w:rPr>
                <w:rFonts w:ascii="Times New Roman" w:hAnsi="Times New Roman"/>
              </w:rPr>
            </w:pPr>
            <w:r>
              <w:rPr>
                <w:rFonts w:ascii="Times New Roman" w:hAnsi="Times New Roman"/>
              </w:rPr>
              <w:t>(in thousands)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39"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1,060</w:t>
            </w:r>
          </w:p>
        </w:tc>
        <w:tc>
          <w:tcPr>
            <w:tcW w:w="9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Provisions</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57,684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56,989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54,475</w:t>
            </w:r>
          </w:p>
        </w:tc>
        <w:tc>
          <w:tcPr>
            <w:tcW w:w="9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Sales returns</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(57,784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(56,920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(54,434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8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164"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1,101</w:t>
            </w:r>
          </w:p>
        </w:tc>
        <w:tc>
          <w:tcPr>
            <w:tcW w:w="95" w:type="dxa"/>
            <w:tcBorders/>
            <w:vAlign w:val="bottom"/>
          </w:tcPr>
          <w:p>
            <w:pPr>
              <w:pStyle w:val="TableContents"/>
              <w:bidi w:val="0"/>
              <w:spacing w:before="0" w:after="283"/>
              <w:jc w:val="left"/>
              <w:rPr/>
            </w:pPr>
            <w:r>
              <w:rPr/>
              <w:t> </w:t>
            </w:r>
          </w:p>
        </w:tc>
      </w:tr>
    </w:tbl>
    <w:p>
      <w:pPr>
        <w:pStyle w:val="TextBody"/>
        <w:bidi w:val="0"/>
        <w:spacing w:before="0" w:after="0"/>
        <w:ind w:left="600" w:right="0" w:hanging="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tbl>
      <w:tblPr>
        <w:tblW w:w="2395" w:type="dxa"/>
        <w:jc w:val="left"/>
        <w:tblInd w:w="0" w:type="dxa"/>
        <w:tblLayout w:type="fixed"/>
        <w:tblCellMar>
          <w:top w:w="0" w:type="dxa"/>
          <w:left w:w="0" w:type="dxa"/>
          <w:bottom w:w="0" w:type="dxa"/>
          <w:right w:w="0" w:type="dxa"/>
        </w:tblCellMar>
      </w:tblPr>
      <w:tblGrid>
        <w:gridCol w:w="260"/>
        <w:gridCol w:w="2135"/>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(3)</w:t>
            </w:r>
          </w:p>
        </w:tc>
        <w:tc>
          <w:tcPr>
            <w:tcW w:w="21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Property and Equipment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547" w:right="0" w:hanging="0"/>
        <w:jc w:val="both"/>
        <w:rPr>
          <w:rFonts w:ascii="Times New Roman" w:hAnsi="Times New Roman"/>
          <w:color w:val="000000"/>
          <w:sz w:val="20"/>
          <w:shd w:fill="FFFFFF" w:val="clear"/>
        </w:rPr>
      </w:pPr>
      <w:r>
        <w:rPr>
          <w:rFonts w:ascii="Times New Roman" w:hAnsi="Times New Roman"/>
          <w:color w:val="000000"/>
          <w:sz w:val="20"/>
          <w:shd w:fill="FFFFFF" w:val="clear"/>
        </w:rPr>
        <w:t>Property and equipment consists of the following:</w:t>
      </w:r>
    </w:p>
    <w:p>
      <w:pPr>
        <w:pStyle w:val="TextBody"/>
        <w:bidi w:val="0"/>
        <w:spacing w:before="0" w:after="0"/>
        <w:jc w:val="left"/>
        <w:rPr>
          <w:rFonts w:ascii="Times New Roman" w:hAnsi="Times New Roman"/>
          <w:sz w:val="20"/>
        </w:rPr>
      </w:pPr>
      <w:r>
        <w:rPr>
          <w:rFonts w:ascii="Times New Roman" w:hAnsi="Times New Roman"/>
          <w:sz w:val="20"/>
        </w:rPr>
      </w:r>
    </w:p>
    <w:tbl>
      <w:tblPr>
        <w:tblW w:w="6473" w:type="dxa"/>
        <w:jc w:val="left"/>
        <w:tblInd w:w="600" w:type="dxa"/>
        <w:tblLayout w:type="fixed"/>
        <w:tblCellMar>
          <w:top w:w="0" w:type="dxa"/>
          <w:left w:w="0" w:type="dxa"/>
          <w:bottom w:w="0" w:type="dxa"/>
          <w:right w:w="0" w:type="dxa"/>
        </w:tblCellMar>
      </w:tblPr>
      <w:tblGrid>
        <w:gridCol w:w="4115"/>
        <w:gridCol w:w="60"/>
        <w:gridCol w:w="145"/>
        <w:gridCol w:w="879"/>
        <w:gridCol w:w="80"/>
        <w:gridCol w:w="60"/>
        <w:gridCol w:w="147"/>
        <w:gridCol w:w="892"/>
        <w:gridCol w:w="95"/>
      </w:tblGrid>
      <w:tr>
        <w:trPr/>
        <w:tc>
          <w:tcPr>
            <w:tcW w:w="41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28,</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203" w:type="dxa"/>
            <w:gridSpan w:val="6"/>
            <w:tcBorders/>
            <w:vAlign w:val="bottom"/>
          </w:tcPr>
          <w:p>
            <w:pPr>
              <w:pStyle w:val="TableContents"/>
              <w:bidi w:val="0"/>
              <w:spacing w:before="0" w:after="283"/>
              <w:jc w:val="center"/>
              <w:rPr>
                <w:rFonts w:ascii="Times New Roman" w:hAnsi="Times New Roman"/>
                <w:sz w:val="20"/>
              </w:rPr>
            </w:pPr>
            <w:r>
              <w:rPr>
                <w:rFonts w:ascii="Times New Roman" w:hAnsi="Times New Roman"/>
                <w:sz w:val="20"/>
              </w:rPr>
              <w:t xml:space="preserve">(in thousands) </w:t>
            </w:r>
          </w:p>
        </w:tc>
        <w:tc>
          <w:tcPr>
            <w:tcW w:w="9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Land</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7,942</w:t>
            </w:r>
          </w:p>
        </w:tc>
        <w:tc>
          <w:tcPr>
            <w:tcW w:w="95"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Buildings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34,608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34,608</w:t>
            </w:r>
          </w:p>
        </w:tc>
        <w:tc>
          <w:tcPr>
            <w:tcW w:w="9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Furniture, fixtures and equipment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262,571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224,999</w:t>
            </w:r>
          </w:p>
        </w:tc>
        <w:tc>
          <w:tcPr>
            <w:tcW w:w="95"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Leasehold improvements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78,099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55,945</w:t>
            </w:r>
          </w:p>
        </w:tc>
        <w:tc>
          <w:tcPr>
            <w:tcW w:w="9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Automobiles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2,839</w:t>
            </w:r>
          </w:p>
        </w:tc>
        <w:tc>
          <w:tcPr>
            <w:tcW w:w="95"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Construction in Progress </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9"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65,643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454,264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326,333</w:t>
            </w:r>
          </w:p>
        </w:tc>
        <w:tc>
          <w:tcPr>
            <w:tcW w:w="95"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Less:  Accumulated depreciation and amortization</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(184,201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(150,386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270,063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175,947</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600" w:right="0" w:hanging="0"/>
        <w:jc w:val="left"/>
        <w:rPr>
          <w:rFonts w:ascii="Times New Roman" w:hAnsi="Times New Roman"/>
          <w:sz w:val="20"/>
        </w:rPr>
      </w:pPr>
      <w:r>
        <w:rPr>
          <w:rFonts w:ascii="Times New Roman" w:hAnsi="Times New Roman"/>
          <w:sz w:val="20"/>
        </w:rPr>
      </w:r>
    </w:p>
    <w:p>
      <w:pPr>
        <w:pStyle w:val="TextBody"/>
        <w:bidi w:val="0"/>
        <w:spacing w:before="0" w:after="0"/>
        <w:ind w:left="547"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Depreciation and amortization expense of property and equipment was $34.9 million, $28.7 million, and $24.9 million </w:t>
      </w:r>
      <w:r>
        <w:rPr>
          <w:rFonts w:ascii="Times New Roman" w:hAnsi="Times New Roman"/>
          <w:b w:val="false"/>
          <w:i w:val="false"/>
          <w:caps w:val="false"/>
          <w:smallCaps w:val="false"/>
          <w:color w:val="000000"/>
          <w:spacing w:val="0"/>
          <w:sz w:val="20"/>
          <w:shd w:fill="FFFFFF" w:val="clear"/>
        </w:rPr>
        <w:t>in 2023, 2022, and 2021, respectively</w:t>
      </w:r>
      <w:r>
        <w:rPr>
          <w:rFonts w:ascii="Times New Roman" w:hAnsi="Times New Roman"/>
          <w:color w:val="000000"/>
          <w:sz w:val="20"/>
          <w:shd w:fill="FFFFFF" w:val="clear"/>
        </w:rPr>
        <w:t xml:space="preserve">, of which $27.8 million, $22.9 million, and $19.4 million is included in the depreciation and amortization expenses </w:t>
      </w:r>
      <w:r>
        <w:rPr>
          <w:rFonts w:ascii="Times New Roman" w:hAnsi="Times New Roman"/>
          <w:b w:val="false"/>
          <w:i w:val="false"/>
          <w:caps w:val="false"/>
          <w:smallCaps w:val="false"/>
          <w:color w:val="000000"/>
          <w:spacing w:val="0"/>
          <w:sz w:val="20"/>
          <w:shd w:fill="FFFFFF" w:val="clear"/>
        </w:rPr>
        <w:t>in 2023, 2022, and 2021, respectively</w:t>
      </w:r>
      <w:r>
        <w:rPr>
          <w:rFonts w:ascii="Times New Roman" w:hAnsi="Times New Roman"/>
          <w:color w:val="000000"/>
          <w:sz w:val="20"/>
          <w:shd w:fill="FFFFFF" w:val="clear"/>
        </w:rPr>
        <w:t>, on the consolidated statements of income.  The remainder, as it relates to the Company’s distribution centers, is included within cost of sales on the consolidated statements of income.</w:t>
      </w:r>
    </w:p>
    <w:p>
      <w:pPr>
        <w:pStyle w:val="TextBody"/>
        <w:bidi w:val="0"/>
        <w:spacing w:before="0" w:after="0"/>
        <w:jc w:val="left"/>
        <w:rPr>
          <w:rFonts w:ascii="Times New Roman" w:hAnsi="Times New Roman"/>
          <w:sz w:val="20"/>
        </w:rPr>
      </w:pPr>
      <w:r>
        <w:rPr>
          <w:rFonts w:ascii="Times New Roman" w:hAnsi="Times New Roman"/>
          <w:sz w:val="20"/>
        </w:rPr>
      </w:r>
    </w:p>
    <w:tbl>
      <w:tblPr>
        <w:tblW w:w="865" w:type="dxa"/>
        <w:jc w:val="left"/>
        <w:tblInd w:w="0" w:type="dxa"/>
        <w:tblLayout w:type="fixed"/>
        <w:tblCellMar>
          <w:top w:w="0" w:type="dxa"/>
          <w:left w:w="0" w:type="dxa"/>
          <w:bottom w:w="0" w:type="dxa"/>
          <w:right w:w="0" w:type="dxa"/>
        </w:tblCellMar>
      </w:tblPr>
      <w:tblGrid>
        <w:gridCol w:w="260"/>
        <w:gridCol w:w="605"/>
      </w:tblGrid>
      <w:tr>
        <w:trPr/>
        <w:tc>
          <w:tcPr>
            <w:tcW w:w="260" w:type="dxa"/>
            <w:tcBorders/>
            <w:shd w:fill="FFFFFF" w:val="clear"/>
            <w:vAlign w:val="center"/>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w:t>
            </w:r>
          </w:p>
        </w:tc>
        <w:tc>
          <w:tcPr>
            <w:tcW w:w="605" w:type="dxa"/>
            <w:tcBorders/>
            <w:shd w:fill="FFFFFF" w:val="clear"/>
            <w:vAlign w:val="center"/>
          </w:tcPr>
          <w:p>
            <w:pPr>
              <w:pStyle w:val="TableContents"/>
              <w:bidi w:val="0"/>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Leases</w:t>
            </w:r>
          </w:p>
        </w:tc>
      </w:tr>
    </w:tbl>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accounts for its leases under ASC 842, Leases (Topic 842). Under this guidance, arrangements meeting the definition of a lease are classified as operating or financing leases and are recorded on the balance sheet as both a right-of-use asset and lease liability, calculated by discounting fixed lease payments over the lease term at the rate implicit in the lease, if available. The Company’s lessors do not provide an implicit rate, nor is one readily available, therefore the Company uses its incremental borrowing rate based on the portfolio approach, which applies one rate to leases within a given period.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Variable lease expenses, if any, are recorded when incurred.</w:t>
      </w:r>
    </w:p>
    <w:p>
      <w:pPr>
        <w:pStyle w:val="TextBody"/>
        <w:bidi w:val="0"/>
        <w:spacing w:before="0" w:after="0"/>
        <w:jc w:val="left"/>
        <w:rPr/>
      </w:pPr>
      <w:r>
        <w:rPr/>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calculating the right-of-use asset and lease liability, the Company elects to combine lease and non-lease components. The Company excludes short-term leases having initial terms of 12 months or less from the guidance as an accounting policy election and recognizes rent expense on a straight-line basis over the lease term.</w:t>
      </w:r>
    </w:p>
    <w:p>
      <w:pPr>
        <w:pStyle w:val="TextBody"/>
        <w:bidi w:val="0"/>
        <w:spacing w:before="0" w:after="0"/>
        <w:jc w:val="left"/>
        <w:rPr/>
      </w:pPr>
      <w:r>
        <w:rPr/>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Ollie’s generally leases its stores, offices, and distribution facilities under operating leases that expire at various dates through 2038.  These leases generally provide for fixed annual rentals.  A majority of the Company’s leases also require a payment for all or a portion of common-area maintenance, insurance, real estate taxes, water and sewer costs, and repairs, on a fixed or variable payment basis, the cost of which, for leases existing as of the adoption of ASC 842, is charged to the related expense category rather than being accounted for as rent expense.  For leases entered into after the adoption of ASC 842, the Company accounts for lease components together with non-lease components as a single component for all classes of underlying assets.  Most of the leases contain options to renew for three to five successive five-year periods.  The Company is generally not reasonably certain to exercise renewal options; therefore, the options are not considered in determining the lease term, and associated potential option payments are excluded from the lease payments.  Ollie’s lease agreements generally do not contain any material residual value guarantees or material restrictive covenants.</w:t>
      </w:r>
    </w:p>
    <w:p>
      <w:pPr>
        <w:pStyle w:val="TextBody"/>
        <w:bidi w:val="0"/>
        <w:spacing w:before="0" w:after="0"/>
        <w:jc w:val="left"/>
        <w:rPr/>
      </w:pPr>
      <w:r>
        <w:rPr/>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Store and office lease costs are classified in SG&amp;A and distribution center lease costs are classified in cost of sales on the consolidated statements of income.</w:t>
      </w:r>
    </w:p>
    <w:p>
      <w:pPr>
        <w:pStyle w:val="TextBody"/>
        <w:bidi w:val="0"/>
        <w:spacing w:before="0" w:after="0"/>
        <w:jc w:val="left"/>
        <w:rPr/>
      </w:pPr>
      <w:r>
        <w:rPr/>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ind w:left="54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The following table summarizes the maturity of the Company’s operating lease liabilities by fiscal year as of February 3, 2024: </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tbl>
      <w:tblPr>
        <w:tblW w:w="4499" w:type="dxa"/>
        <w:jc w:val="left"/>
        <w:tblInd w:w="540" w:type="dxa"/>
        <w:tblLayout w:type="fixed"/>
        <w:tblCellMar>
          <w:top w:w="0" w:type="dxa"/>
          <w:left w:w="0" w:type="dxa"/>
          <w:bottom w:w="0" w:type="dxa"/>
          <w:right w:w="0" w:type="dxa"/>
        </w:tblCellMar>
      </w:tblPr>
      <w:tblGrid>
        <w:gridCol w:w="3170"/>
        <w:gridCol w:w="60"/>
        <w:gridCol w:w="177"/>
        <w:gridCol w:w="997"/>
        <w:gridCol w:w="95"/>
      </w:tblGrid>
      <w:tr>
        <w:trPr/>
        <w:tc>
          <w:tcPr>
            <w:tcW w:w="3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February 3,</w:t>
            </w:r>
          </w:p>
        </w:tc>
        <w:tc>
          <w:tcPr>
            <w:tcW w:w="9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 thousands)</w:t>
            </w:r>
          </w:p>
        </w:tc>
        <w:tc>
          <w:tcPr>
            <w:tcW w:w="95"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2024</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106,625</w:t>
            </w:r>
          </w:p>
        </w:tc>
        <w:tc>
          <w:tcPr>
            <w:tcW w:w="9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2025</w:t>
            </w:r>
          </w:p>
        </w:tc>
        <w:tc>
          <w:tcPr>
            <w:tcW w:w="6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93,148</w:t>
            </w:r>
          </w:p>
        </w:tc>
        <w:tc>
          <w:tcPr>
            <w:tcW w:w="95"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2026</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88,707</w:t>
            </w:r>
          </w:p>
        </w:tc>
        <w:tc>
          <w:tcPr>
            <w:tcW w:w="9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2027</w:t>
            </w:r>
          </w:p>
        </w:tc>
        <w:tc>
          <w:tcPr>
            <w:tcW w:w="6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76,591</w:t>
            </w:r>
          </w:p>
        </w:tc>
        <w:tc>
          <w:tcPr>
            <w:tcW w:w="95"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2028</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60,171</w:t>
            </w:r>
          </w:p>
        </w:tc>
        <w:tc>
          <w:tcPr>
            <w:tcW w:w="9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Thereafter</w:t>
            </w:r>
          </w:p>
        </w:tc>
        <w:tc>
          <w:tcPr>
            <w:tcW w:w="60" w:type="dxa"/>
            <w:tcBorders/>
            <w:vAlign w:val="bottom"/>
          </w:tcPr>
          <w:p>
            <w:pPr>
              <w:pStyle w:val="TableContents"/>
              <w:bidi w:val="0"/>
              <w:spacing w:before="0" w:after="283"/>
              <w:jc w:val="righ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132,033</w:t>
            </w:r>
          </w:p>
        </w:tc>
        <w:tc>
          <w:tcPr>
            <w:tcW w:w="95"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undiscounted lease payments</w:t>
            </w:r>
            <w:r>
              <w:rPr>
                <w:rFonts w:ascii="Times New Roman" w:hAnsi="Times New Roman"/>
                <w:color w:val="000000"/>
                <w:position w:val="7"/>
                <w:sz w:val="16"/>
                <w:sz w:val="20"/>
              </w:rPr>
              <w:t xml:space="preserve"> (1)</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557,275</w:t>
            </w:r>
          </w:p>
        </w:tc>
        <w:tc>
          <w:tcPr>
            <w:tcW w:w="9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Less:  Imputed interest</w:t>
            </w:r>
          </w:p>
        </w:tc>
        <w:tc>
          <w:tcPr>
            <w:tcW w:w="60" w:type="dxa"/>
            <w:tcBorders/>
            <w:vAlign w:val="bottom"/>
          </w:tcPr>
          <w:p>
            <w:pPr>
              <w:pStyle w:val="TableContents"/>
              <w:bidi w:val="0"/>
              <w:spacing w:before="0" w:after="283"/>
              <w:jc w:val="righ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(70,187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1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 lease obligations</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487,088</w:t>
            </w:r>
          </w:p>
        </w:tc>
        <w:tc>
          <w:tcPr>
            <w:tcW w:w="95"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Less:  Current obligations under leases</w:t>
            </w:r>
          </w:p>
        </w:tc>
        <w:tc>
          <w:tcPr>
            <w:tcW w:w="60" w:type="dxa"/>
            <w:tcBorders/>
            <w:vAlign w:val="bottom"/>
          </w:tcPr>
          <w:p>
            <w:pPr>
              <w:pStyle w:val="TableContents"/>
              <w:bidi w:val="0"/>
              <w:spacing w:before="0" w:after="283"/>
              <w:jc w:val="righ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(89,176</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1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Long-term lease obligations</w:t>
            </w:r>
          </w:p>
        </w:tc>
        <w:tc>
          <w:tcPr>
            <w:tcW w:w="60" w:type="dxa"/>
            <w:tcBorders/>
            <w:shd w:fill="CCEEFF" w:val="clear"/>
            <w:vAlign w:val="bottom"/>
          </w:tcPr>
          <w:p>
            <w:pPr>
              <w:pStyle w:val="TableContents"/>
              <w:bidi w:val="0"/>
              <w:spacing w:before="0" w:after="283"/>
              <w:jc w:val="righ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397,912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rPr>
      </w:pPr>
      <w:r>
        <w:rPr>
          <w:rFonts w:ascii="Times New Roman" w:hAnsi="Times New Roman"/>
        </w:rPr>
      </w:r>
    </w:p>
    <w:tbl>
      <w:tblPr>
        <w:tblW w:w="9018" w:type="dxa"/>
        <w:jc w:val="left"/>
        <w:tblInd w:w="0" w:type="dxa"/>
        <w:tblLayout w:type="fixed"/>
        <w:tblCellMar>
          <w:top w:w="0" w:type="dxa"/>
          <w:left w:w="0" w:type="dxa"/>
          <w:bottom w:w="0" w:type="dxa"/>
          <w:right w:w="0" w:type="dxa"/>
        </w:tblCellMar>
      </w:tblPr>
      <w:tblGrid>
        <w:gridCol w:w="38"/>
        <w:gridCol w:w="230"/>
        <w:gridCol w:w="8750"/>
      </w:tblGrid>
      <w:tr>
        <w:trPr/>
        <w:tc>
          <w:tcPr>
            <w:tcW w:w="38" w:type="dxa"/>
            <w:tcBorders/>
            <w:vAlign w:val="center"/>
          </w:tcPr>
          <w:p>
            <w:pPr>
              <w:pStyle w:val="TableContents"/>
              <w:bidi w:val="0"/>
              <w:spacing w:before="0" w:after="283"/>
              <w:jc w:val="left"/>
              <w:rPr>
                <w:rFonts w:ascii="Times New Roman" w:hAnsi="Times New Roman"/>
              </w:rPr>
            </w:pPr>
            <w:r>
              <w:rPr>
                <w:rFonts w:ascii="Times New Roman" w:hAnsi="Times New Roman"/>
              </w:rPr>
            </w:r>
          </w:p>
        </w:tc>
        <w:tc>
          <w:tcPr>
            <w:tcW w:w="230" w:type="dxa"/>
            <w:tcBorders/>
            <w:vAlign w:val="center"/>
          </w:tcPr>
          <w:p>
            <w:pPr>
              <w:pStyle w:val="TableContents"/>
              <w:bidi w:val="0"/>
              <w:spacing w:before="0" w:after="283"/>
              <w:jc w:val="left"/>
              <w:rPr>
                <w:rFonts w:ascii="Times New Roman" w:hAnsi="Times New Roman"/>
                <w:position w:val="7"/>
                <w:sz w:val="16"/>
                <w:sz w:val="20"/>
              </w:rPr>
            </w:pPr>
            <w:r>
              <w:rPr>
                <w:rFonts w:ascii="Times New Roman" w:hAnsi="Times New Roman"/>
                <w:position w:val="7"/>
                <w:sz w:val="16"/>
                <w:sz w:val="20"/>
              </w:rPr>
              <w:t>(1)</w:t>
            </w:r>
          </w:p>
        </w:tc>
        <w:tc>
          <w:tcPr>
            <w:tcW w:w="8750"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Lease obligations exclude $26.6 million of minimum lease payments for leases signed, but not commenced.</w:t>
            </w:r>
          </w:p>
        </w:tc>
      </w:tr>
    </w:tbl>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summarizes other information related to the Company’s operating leases as of and for the respective periods:</w:t>
      </w:r>
    </w:p>
    <w:p>
      <w:pPr>
        <w:pStyle w:val="TextBody"/>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9665" w:type="dxa"/>
        <w:jc w:val="left"/>
        <w:tblInd w:w="540" w:type="dxa"/>
        <w:tblLayout w:type="fixed"/>
        <w:tblCellMar>
          <w:top w:w="0" w:type="dxa"/>
          <w:left w:w="0" w:type="dxa"/>
          <w:bottom w:w="0" w:type="dxa"/>
          <w:right w:w="0" w:type="dxa"/>
        </w:tblCellMar>
      </w:tblPr>
      <w:tblGrid>
        <w:gridCol w:w="5708"/>
        <w:gridCol w:w="60"/>
        <w:gridCol w:w="154"/>
        <w:gridCol w:w="865"/>
        <w:gridCol w:w="185"/>
        <w:gridCol w:w="60"/>
        <w:gridCol w:w="189"/>
        <w:gridCol w:w="903"/>
        <w:gridCol w:w="185"/>
        <w:gridCol w:w="60"/>
        <w:gridCol w:w="189"/>
        <w:gridCol w:w="903"/>
        <w:gridCol w:w="204"/>
      </w:tblGrid>
      <w:tr>
        <w:trPr/>
        <w:tc>
          <w:tcPr>
            <w:tcW w:w="570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693"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Fiscal Year Ended</w:t>
            </w:r>
          </w:p>
        </w:tc>
        <w:tc>
          <w:tcPr>
            <w:tcW w:w="20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70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1019" w:type="dxa"/>
            <w:gridSpan w:val="2"/>
            <w:tcBorders/>
            <w:vAlign w:val="bottom"/>
          </w:tcPr>
          <w:p>
            <w:pPr>
              <w:pStyle w:val="TableContents"/>
              <w:bidi w:val="0"/>
              <w:spacing w:before="0" w:after="283"/>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February 3,</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1092" w:type="dxa"/>
            <w:gridSpan w:val="2"/>
            <w:tcBorders/>
            <w:vAlign w:val="bottom"/>
          </w:tcPr>
          <w:p>
            <w:pPr>
              <w:pStyle w:val="TableContents"/>
              <w:bidi w:val="0"/>
              <w:spacing w:before="0" w:after="283"/>
              <w:jc w:val="center"/>
              <w:rPr>
                <w:caps w:val="false"/>
                <w:smallCaps w:val="false"/>
                <w:color w:val="000000"/>
              </w:rPr>
            </w:pPr>
            <w:r>
              <w:rPr>
                <w:caps w:val="false"/>
                <w:smallCaps w:val="false"/>
                <w:color w:val="000000"/>
              </w:rPr>
              <w:t> </w:t>
            </w:r>
            <w:r>
              <w:rPr>
                <w:rFonts w:ascii="Times New Roman" w:hAnsi="Times New Roman"/>
                <w:b/>
                <w:i w:val="false"/>
                <w:caps w:val="false"/>
                <w:smallCaps w:val="false"/>
                <w:color w:val="000000"/>
                <w:sz w:val="20"/>
              </w:rPr>
              <w:t>January 28,</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1092" w:type="dxa"/>
            <w:gridSpan w:val="2"/>
            <w:tcBorders/>
            <w:vAlign w:val="bottom"/>
          </w:tcPr>
          <w:p>
            <w:pPr>
              <w:pStyle w:val="TableContents"/>
              <w:bidi w:val="0"/>
              <w:spacing w:before="0" w:after="283"/>
              <w:jc w:val="center"/>
              <w:rPr>
                <w:caps w:val="false"/>
                <w:smallCaps w:val="false"/>
                <w:color w:val="000000"/>
              </w:rPr>
            </w:pPr>
            <w:r>
              <w:rPr>
                <w:caps w:val="false"/>
                <w:smallCaps w:val="false"/>
                <w:color w:val="000000"/>
              </w:rPr>
              <w:t> </w:t>
            </w:r>
            <w:r>
              <w:rPr>
                <w:rFonts w:ascii="Times New Roman" w:hAnsi="Times New Roman"/>
                <w:b/>
                <w:i w:val="false"/>
                <w:caps w:val="false"/>
                <w:smallCaps w:val="false"/>
                <w:color w:val="000000"/>
                <w:sz w:val="20"/>
              </w:rPr>
              <w:t>January 29,</w:t>
            </w:r>
          </w:p>
        </w:tc>
        <w:tc>
          <w:tcPr>
            <w:tcW w:w="20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70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1019"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2024</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1092"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2023</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1092"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20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708"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693" w:type="dxa"/>
            <w:gridSpan w:val="10"/>
            <w:tcBorders/>
            <w:vAlign w:val="bottom"/>
          </w:tcPr>
          <w:p>
            <w:pPr>
              <w:pStyle w:val="TableContents"/>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(dollars in thousands)</w:t>
            </w:r>
          </w:p>
        </w:tc>
        <w:tc>
          <w:tcPr>
            <w:tcW w:w="20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70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operating leases</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4"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6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114,184</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9"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03"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94,909</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9"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03"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85,923</w:t>
            </w:r>
          </w:p>
        </w:tc>
        <w:tc>
          <w:tcPr>
            <w:tcW w:w="20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708"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cost</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106,302</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9"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03"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95,176</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9"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03"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86,516</w:t>
            </w:r>
          </w:p>
        </w:tc>
        <w:tc>
          <w:tcPr>
            <w:tcW w:w="20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70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Variable lease cost</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12,463</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9"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03"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10,512</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9"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03"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7,848</w:t>
            </w:r>
          </w:p>
        </w:tc>
        <w:tc>
          <w:tcPr>
            <w:tcW w:w="20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708"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right-of-use assets obtained in exchange for lease obligations</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53,138</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9"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03"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54,705</w:t>
            </w:r>
          </w:p>
        </w:tc>
        <w:tc>
          <w:tcPr>
            <w:tcW w:w="18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9"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03"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59,696</w:t>
            </w:r>
          </w:p>
        </w:tc>
        <w:tc>
          <w:tcPr>
            <w:tcW w:w="20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708"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remaining lease term</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19" w:type="dxa"/>
            <w:gridSpan w:val="2"/>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6.52 years</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92" w:type="dxa"/>
            <w:gridSpan w:val="2"/>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 years</w:t>
            </w:r>
          </w:p>
        </w:tc>
        <w:tc>
          <w:tcPr>
            <w:tcW w:w="18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92" w:type="dxa"/>
            <w:gridSpan w:val="2"/>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 years</w:t>
            </w:r>
          </w:p>
        </w:tc>
        <w:tc>
          <w:tcPr>
            <w:tcW w:w="204"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708"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discount rate</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54"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6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c>
          <w:tcPr>
            <w:tcW w:w="18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9"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03"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tc>
        <w:tc>
          <w:tcPr>
            <w:tcW w:w="18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9"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903"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tc>
        <w:tc>
          <w:tcPr>
            <w:tcW w:w="204"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bidi w:val="0"/>
        <w:spacing w:before="0" w:after="0"/>
        <w:ind w:left="540" w:right="0" w:hanging="0"/>
        <w:jc w:val="left"/>
        <w:rPr>
          <w:rFonts w:ascii="Times New Roman" w:hAnsi="Times New Roman"/>
        </w:rPr>
      </w:pPr>
      <w:r>
        <w:rPr>
          <w:rFonts w:ascii="Times New Roman" w:hAnsi="Times New Roman"/>
        </w:rPr>
      </w:r>
    </w:p>
    <w:tbl>
      <w:tblPr>
        <w:tblW w:w="3070" w:type="dxa"/>
        <w:jc w:val="left"/>
        <w:tblInd w:w="0" w:type="dxa"/>
        <w:tblLayout w:type="fixed"/>
        <w:tblCellMar>
          <w:top w:w="0" w:type="dxa"/>
          <w:left w:w="0" w:type="dxa"/>
          <w:bottom w:w="0" w:type="dxa"/>
          <w:right w:w="0" w:type="dxa"/>
        </w:tblCellMar>
      </w:tblPr>
      <w:tblGrid>
        <w:gridCol w:w="260"/>
        <w:gridCol w:w="281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(5)</w:t>
            </w:r>
          </w:p>
        </w:tc>
        <w:tc>
          <w:tcPr>
            <w:tcW w:w="2810" w:type="dxa"/>
            <w:tcBorders/>
            <w:vAlign w:val="center"/>
          </w:tcPr>
          <w:p>
            <w:pPr>
              <w:pStyle w:val="TableContents"/>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Commitments and Contingencies</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b/>
          <w:i/>
          <w:color w:val="000000"/>
          <w:spacing w:val="0"/>
          <w:sz w:val="20"/>
          <w:shd w:fill="FFFFFF" w:val="clear"/>
        </w:rPr>
      </w:pPr>
      <w:r>
        <w:rPr>
          <w:rFonts w:ascii="Times New Roman" w:hAnsi="Times New Roman"/>
          <w:b/>
          <w:i/>
          <w:color w:val="000000"/>
          <w:spacing w:val="0"/>
          <w:sz w:val="20"/>
          <w:shd w:fill="FFFFFF" w:val="clear"/>
        </w:rPr>
        <w:t>Contingencies</w:t>
      </w:r>
    </w:p>
    <w:p>
      <w:pPr>
        <w:pStyle w:val="TextBody"/>
        <w:bidi w:val="0"/>
        <w:spacing w:before="0" w:after="0"/>
        <w:ind w:left="54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ind w:left="54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From time to time the Company may be involved in claims and legal actions that arise in the ordinary course of its business.  The Company cannot predict the outcome of any litigation or suit to which it is a party.  However, the Company does not believe that an unfavorable decision of any of the current claims or legal actions against it, individually or in the aggregate, will have a material adverse effect on its financial position, results of operations, liquidity or capital resources.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tbl>
      <w:tblPr>
        <w:tblW w:w="1825" w:type="dxa"/>
        <w:jc w:val="left"/>
        <w:tblInd w:w="0" w:type="dxa"/>
        <w:tblLayout w:type="fixed"/>
        <w:tblCellMar>
          <w:top w:w="0" w:type="dxa"/>
          <w:left w:w="0" w:type="dxa"/>
          <w:bottom w:w="0" w:type="dxa"/>
          <w:right w:w="0" w:type="dxa"/>
        </w:tblCellMar>
      </w:tblPr>
      <w:tblGrid>
        <w:gridCol w:w="260"/>
        <w:gridCol w:w="1565"/>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(6)</w:t>
            </w:r>
          </w:p>
        </w:tc>
        <w:tc>
          <w:tcPr>
            <w:tcW w:w="156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Accrued Expenses</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7" w:right="0" w:hanging="0"/>
        <w:jc w:val="both"/>
        <w:rPr>
          <w:rFonts w:ascii="Times New Roman" w:hAnsi="Times New Roman"/>
          <w:color w:val="000000"/>
          <w:sz w:val="20"/>
          <w:shd w:fill="FFFFFF" w:val="clear"/>
        </w:rPr>
      </w:pPr>
      <w:r>
        <w:rPr>
          <w:rFonts w:ascii="Times New Roman" w:hAnsi="Times New Roman"/>
          <w:color w:val="000000"/>
          <w:sz w:val="20"/>
          <w:shd w:fill="FFFFFF" w:val="clear"/>
        </w:rPr>
        <w:t>Accrued expenses consist of the following:</w:t>
      </w:r>
    </w:p>
    <w:p>
      <w:pPr>
        <w:pStyle w:val="TextBody"/>
        <w:bidi w:val="0"/>
        <w:spacing w:before="0" w:after="0"/>
        <w:jc w:val="left"/>
        <w:rPr>
          <w:rFonts w:ascii="Times New Roman" w:hAnsi="Times New Roman"/>
        </w:rPr>
      </w:pPr>
      <w:r>
        <w:rPr>
          <w:rFonts w:ascii="Times New Roman" w:hAnsi="Times New Roman"/>
        </w:rPr>
      </w:r>
    </w:p>
    <w:tbl>
      <w:tblPr>
        <w:tblW w:w="4573" w:type="dxa"/>
        <w:jc w:val="left"/>
        <w:tblInd w:w="600" w:type="dxa"/>
        <w:tblLayout w:type="fixed"/>
        <w:tblCellMar>
          <w:top w:w="0" w:type="dxa"/>
          <w:left w:w="0" w:type="dxa"/>
          <w:bottom w:w="0" w:type="dxa"/>
          <w:right w:w="0" w:type="dxa"/>
        </w:tblCellMar>
      </w:tblPr>
      <w:tblGrid>
        <w:gridCol w:w="2255"/>
        <w:gridCol w:w="60"/>
        <w:gridCol w:w="179"/>
        <w:gridCol w:w="845"/>
        <w:gridCol w:w="60"/>
        <w:gridCol w:w="60"/>
        <w:gridCol w:w="181"/>
        <w:gridCol w:w="858"/>
        <w:gridCol w:w="75"/>
      </w:tblGrid>
      <w:tr>
        <w:trPr/>
        <w:tc>
          <w:tcPr>
            <w:tcW w:w="22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28,</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7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183" w:type="dxa"/>
            <w:gridSpan w:val="6"/>
            <w:tcBorders/>
            <w:vAlign w:val="bottom"/>
          </w:tcPr>
          <w:p>
            <w:pPr>
              <w:pStyle w:val="TableContents"/>
              <w:bidi w:val="0"/>
              <w:spacing w:before="0" w:after="283"/>
              <w:jc w:val="center"/>
              <w:rPr>
                <w:rFonts w:ascii="Times New Roman" w:hAnsi="Times New Roman"/>
              </w:rPr>
            </w:pPr>
            <w:r>
              <w:rPr>
                <w:rFonts w:ascii="Times New Roman" w:hAnsi="Times New Roman"/>
              </w:rPr>
              <w:t>(in thousands)</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Compensation and benefits</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14,751</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Deferred revenue</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10,657</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44"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Sales and use taxes</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6,567</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144"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Insurance</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9,141</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283"/>
              <w:ind w:left="0"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Real estate related</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4,680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6,283</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144"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Freight</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2,641</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44"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Advertising</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6,582</w:t>
            </w:r>
          </w:p>
        </w:tc>
        <w:tc>
          <w:tcPr>
            <w:tcW w:w="7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20,337</w:t>
            </w:r>
          </w:p>
        </w:tc>
        <w:tc>
          <w:tcPr>
            <w:tcW w:w="7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82,895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76,959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600" w:right="0" w:hanging="0"/>
        <w:jc w:val="left"/>
        <w:rPr/>
      </w:pPr>
      <w:r>
        <w:rPr/>
      </w:r>
    </w:p>
    <w:tbl>
      <w:tblPr>
        <w:tblW w:w="4240" w:type="dxa"/>
        <w:jc w:val="left"/>
        <w:tblInd w:w="0" w:type="dxa"/>
        <w:tblLayout w:type="fixed"/>
        <w:tblCellMar>
          <w:top w:w="0" w:type="dxa"/>
          <w:left w:w="0" w:type="dxa"/>
          <w:bottom w:w="0" w:type="dxa"/>
          <w:right w:w="0" w:type="dxa"/>
        </w:tblCellMar>
      </w:tblPr>
      <w:tblGrid>
        <w:gridCol w:w="260"/>
        <w:gridCol w:w="3980"/>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39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Debt Obligations and Financing Arrangements</w:t>
            </w:r>
          </w:p>
        </w:tc>
      </w:tr>
    </w:tbl>
    <w:p>
      <w:pPr>
        <w:pStyle w:val="TextBody"/>
        <w:bidi w:val="0"/>
        <w:spacing w:before="0" w:after="0"/>
        <w:jc w:val="left"/>
        <w:rPr/>
      </w:pPr>
      <w:r>
        <w:rPr/>
      </w:r>
    </w:p>
    <w:p>
      <w:pPr>
        <w:pStyle w:val="TextBody"/>
        <w:bidi w:val="0"/>
        <w:spacing w:before="0" w:after="0"/>
        <w:ind w:left="547"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Long-term debt consists of finance leases.</w:t>
      </w:r>
    </w:p>
    <w:p>
      <w:pPr>
        <w:pStyle w:val="TextBody"/>
        <w:bidi w:val="0"/>
        <w:spacing w:before="0" w:after="0"/>
        <w:jc w:val="left"/>
        <w:rPr/>
      </w:pPr>
      <w:r>
        <w:rPr/>
      </w:r>
    </w:p>
    <w:p>
      <w:pPr>
        <w:pStyle w:val="TextBody"/>
        <w:bidi w:val="0"/>
        <w:spacing w:before="0" w:after="0"/>
        <w:ind w:left="54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Company’s credit facility (the “Credit Facility”) provides for a five-year $100.0 million revolving credit facility, which includes a $45.0 million sub-facility for letters of credit and a $25.0 million sub-facility for swingline loans (the “Revolving Credit Facility”). In addition, the Company may at any time add term loan facilities or additional revolving commitments up to $150.0 million pursuant to terms and conditions set out in the Credit Facility. On January 9, 2024, the Company refinanced its credit facility (the “Credit Facility”), pursuant to which the maturity date for any loans under the revolving credit facility was extended for a period of five years from the effective date of January 9, 2024 and a zero percent (0.0%) interest rate floor was added to the option for the SOFR Loan Rate (as defined in the Amendment). Loans under the Revolving Credit Facility mature on January 9, 2029.</w:t>
      </w:r>
    </w:p>
    <w:p>
      <w:pPr>
        <w:pStyle w:val="TextBody"/>
        <w:bidi w:val="0"/>
        <w:spacing w:before="0" w:after="0"/>
        <w:ind w:left="54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54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a result of the anticipated discontinuation of LIBOR in 2023, on January 24, 2023, the Company amended its Credit Facility to replace the LIBOR-based interest rates included therein with SOFR-based interest rates and to modify the provisions for determining an alternative rate of interest upon the occurrence of certain events relating to the availability of interest rate benchmarks. The interest rates for the Credit Facility are calculated as follows: for ABR Loans, the highest of the Prime Rate, the Federal Funds Effective Rate plus 0.50% and Term SOFR with a term of one-month in effect on such day plus the SOFR Spread Adjustment plus 1.0%, plus the Applicable Margin, or, for SOFR Loans, the SOFR Loan Rate plus the Applicable Margin plus the SOFR Spread Adjustment. The Applicable Margin will vary from 0.00% to 0.50% for an ABR Loan and 1.00% to 1.50% for a SOFR Loan, based on availability under the Credit Facility. The SOFR Loan Rate is subject to a 0% floor.</w:t>
      </w:r>
    </w:p>
    <w:p>
      <w:pPr>
        <w:pStyle w:val="TextBody"/>
        <w:bidi w:val="0"/>
        <w:spacing w:before="0" w:after="0"/>
        <w:jc w:val="left"/>
        <w:rPr/>
      </w:pPr>
      <w:r>
        <w:rPr/>
      </w:r>
    </w:p>
    <w:p>
      <w:pPr>
        <w:pStyle w:val="TextBody"/>
        <w:bidi w:val="0"/>
        <w:spacing w:before="0" w:after="0"/>
        <w:ind w:left="54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Under the terms of the Revolving Credit Facility, as of February 3, 2024, the Company could borrow up to 90.0% of the most recent appraised value (valued at cost, discounted for the current net orderly liquidation value) of its eligible inventory, as defined, up to $100.0 million.</w:t>
      </w:r>
    </w:p>
    <w:p>
      <w:pPr>
        <w:pStyle w:val="TextBody"/>
        <w:bidi w:val="0"/>
        <w:spacing w:before="0" w:after="0"/>
        <w:jc w:val="left"/>
        <w:rPr/>
      </w:pPr>
      <w:r>
        <w:rPr/>
      </w:r>
    </w:p>
    <w:p>
      <w:pPr>
        <w:pStyle w:val="TextBody"/>
        <w:bidi w:val="0"/>
        <w:spacing w:before="0" w:after="0"/>
        <w:ind w:left="54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February 3, 2024, the Company had no outstanding borrowings under the Revolving Credit Facility, with $90.0 million of borrowing availability, outstanding letters of credit commitments of $9.7 million, and $0.2 million of rent reserves. The Revolving Credit Facility also contains a variable unused line fee ranging from 0.125% to 0.250% per annum. The Company incurred unused line fees of $0.1 million in each of the years ended 2023, 2022, and 2021.</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p>
      <w:pPr>
        <w:pStyle w:val="TextBody"/>
        <w:bidi w:val="0"/>
        <w:spacing w:before="0" w:after="0"/>
        <w:ind w:left="54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Credit Facility is collateralized by the Company’s assets and equity and contains a financial covenant, as well as certain business covenants, including restrictions on dividend payments, which the Company must comply with during the term of the agreement.  The financial covenant is a consolidated fixed charge coverage ratio test of at least 1.0 to 1.0 applicable during a covenant period, based on reference to availability.  The Company was in compliance with all terms of the Credit Facility during 2023.</w:t>
      </w:r>
    </w:p>
    <w:p>
      <w:pPr>
        <w:pStyle w:val="TextBody"/>
        <w:bidi w:val="0"/>
        <w:spacing w:before="0" w:after="0"/>
        <w:ind w:left="54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54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provisions of the Credit Facility restrict all of the net assets of the Company’s consolidated subsidiaries, which constitutes all of the net assets on the Company’s consolidated balance sheet as of February 3, 2024, from being used to pay any dividends or make other restricted payments to the Company without prior written consent from the financial institutions that are a party to the Credit Facility, subject to material exceptions including proforma compliance with the applicable conditions described in the Credit Facility. </w:t>
      </w:r>
    </w:p>
    <w:p>
      <w:pPr>
        <w:pStyle w:val="TextBody"/>
        <w:bidi w:val="0"/>
        <w:spacing w:before="0" w:after="0"/>
        <w:jc w:val="left"/>
        <w:rPr/>
      </w:pPr>
      <w:r>
        <w:rPr/>
      </w:r>
    </w:p>
    <w:tbl>
      <w:tblPr>
        <w:tblW w:w="1480" w:type="dxa"/>
        <w:jc w:val="left"/>
        <w:tblInd w:w="0" w:type="dxa"/>
        <w:tblLayout w:type="fixed"/>
        <w:tblCellMar>
          <w:top w:w="0" w:type="dxa"/>
          <w:left w:w="0" w:type="dxa"/>
          <w:bottom w:w="0" w:type="dxa"/>
          <w:right w:w="0" w:type="dxa"/>
        </w:tblCellMar>
      </w:tblPr>
      <w:tblGrid>
        <w:gridCol w:w="260"/>
        <w:gridCol w:w="122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(8)</w:t>
            </w:r>
          </w:p>
        </w:tc>
        <w:tc>
          <w:tcPr>
            <w:tcW w:w="122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Income Taxes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547"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components of income tax provision (benefit) are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5157" w:type="dxa"/>
        <w:jc w:val="left"/>
        <w:tblInd w:w="600" w:type="dxa"/>
        <w:tblLayout w:type="fixed"/>
        <w:tblCellMar>
          <w:top w:w="0" w:type="dxa"/>
          <w:left w:w="0" w:type="dxa"/>
          <w:bottom w:w="0" w:type="dxa"/>
          <w:right w:w="0" w:type="dxa"/>
        </w:tblCellMar>
      </w:tblPr>
      <w:tblGrid>
        <w:gridCol w:w="1640"/>
        <w:gridCol w:w="60"/>
        <w:gridCol w:w="179"/>
        <w:gridCol w:w="845"/>
        <w:gridCol w:w="80"/>
        <w:gridCol w:w="60"/>
        <w:gridCol w:w="181"/>
        <w:gridCol w:w="858"/>
        <w:gridCol w:w="80"/>
        <w:gridCol w:w="60"/>
        <w:gridCol w:w="181"/>
        <w:gridCol w:w="858"/>
        <w:gridCol w:w="75"/>
      </w:tblGrid>
      <w:tr>
        <w:trPr/>
        <w:tc>
          <w:tcPr>
            <w:tcW w:w="1640" w:type="dxa"/>
            <w:tcBorders/>
            <w:vAlign w:val="bottom"/>
          </w:tcPr>
          <w:p>
            <w:pPr>
              <w:pStyle w:val="TableContents"/>
              <w:bidi w:val="0"/>
              <w:spacing w:before="0" w:after="283"/>
              <w:jc w:val="left"/>
              <w:rPr>
                <w:rFonts w:ascii="Times New Roman" w:hAnsi="Times New Roman"/>
              </w:rPr>
            </w:pPr>
            <w:r>
              <w:rPr>
                <w:rFonts w:ascii="Times New Roman" w:hAnsi="Times New Roman"/>
              </w:rPr>
            </w:r>
          </w:p>
        </w:tc>
        <w:tc>
          <w:tcPr>
            <w:tcW w:w="60" w:type="dxa"/>
            <w:tcBorders/>
            <w:vAlign w:val="bottom"/>
          </w:tcPr>
          <w:p>
            <w:pPr>
              <w:pStyle w:val="TableContents"/>
              <w:bidi w:val="0"/>
              <w:spacing w:before="0" w:after="283"/>
              <w:jc w:val="left"/>
              <w:rPr/>
            </w:pPr>
            <w:r>
              <w:rPr/>
              <w:t> </w:t>
            </w:r>
          </w:p>
        </w:tc>
        <w:tc>
          <w:tcPr>
            <w:tcW w:w="3382"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Fiscal year ended</w:t>
            </w:r>
          </w:p>
        </w:tc>
        <w:tc>
          <w:tcPr>
            <w:tcW w:w="75"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28,</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29,</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3382" w:type="dxa"/>
            <w:gridSpan w:val="10"/>
            <w:tcBorders/>
            <w:vAlign w:val="bottom"/>
          </w:tcPr>
          <w:p>
            <w:pPr>
              <w:pStyle w:val="TableContents"/>
              <w:bidi w:val="0"/>
              <w:spacing w:before="0" w:after="283"/>
              <w:jc w:val="center"/>
              <w:rPr>
                <w:rFonts w:ascii="Times New Roman" w:hAnsi="Times New Roman"/>
                <w:sz w:val="20"/>
              </w:rPr>
            </w:pPr>
            <w:r>
              <w:rPr>
                <w:rFonts w:ascii="Times New Roman" w:hAnsi="Times New Roman"/>
                <w:sz w:val="20"/>
              </w:rPr>
              <w:t>(in thousands)</w:t>
            </w:r>
          </w:p>
        </w:tc>
        <w:tc>
          <w:tcPr>
            <w:tcW w:w="75"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Current:</w:t>
            </w:r>
          </w:p>
        </w:tc>
        <w:tc>
          <w:tcPr>
            <w:tcW w:w="60" w:type="dxa"/>
            <w:tcBorders/>
            <w:vAlign w:val="bottom"/>
          </w:tcPr>
          <w:p>
            <w:pPr>
              <w:pStyle w:val="TableContents"/>
              <w:bidi w:val="0"/>
              <w:spacing w:before="0" w:after="283"/>
              <w:jc w:val="center"/>
              <w:rPr/>
            </w:pPr>
            <w:r>
              <w:rPr/>
              <w:t> </w:t>
            </w:r>
          </w:p>
        </w:tc>
        <w:tc>
          <w:tcPr>
            <w:tcW w:w="3382" w:type="dxa"/>
            <w:gridSpan w:val="10"/>
            <w:tcBorders/>
            <w:vAlign w:val="bottom"/>
          </w:tcPr>
          <w:p>
            <w:pPr>
              <w:pStyle w:val="TableContents"/>
              <w:bidi w:val="0"/>
              <w:spacing w:before="0" w:after="283"/>
              <w:jc w:val="left"/>
              <w:rPr>
                <w:rFonts w:ascii="Times New Roman" w:hAnsi="Times New Roman"/>
              </w:rPr>
            </w:pPr>
            <w:r>
              <w:rPr>
                <w:rFonts w:ascii="Times New Roman" w:hAnsi="Times New Roman"/>
              </w:rPr>
            </w:r>
          </w:p>
        </w:tc>
        <w:tc>
          <w:tcPr>
            <w:tcW w:w="75"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Federal</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45,871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20,541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35,657</w:t>
            </w:r>
          </w:p>
        </w:tc>
        <w:tc>
          <w:tcPr>
            <w:tcW w:w="75"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State</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13,930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10,156</w:t>
            </w:r>
          </w:p>
        </w:tc>
        <w:tc>
          <w:tcPr>
            <w:tcW w:w="75"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59,801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45,813</w:t>
            </w:r>
          </w:p>
        </w:tc>
        <w:tc>
          <w:tcPr>
            <w:tcW w:w="75"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Deferred:</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Federal</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802</w:t>
            </w:r>
          </w:p>
        </w:tc>
        <w:tc>
          <w:tcPr>
            <w:tcW w:w="75"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State</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313</w:t>
            </w:r>
          </w:p>
        </w:tc>
        <w:tc>
          <w:tcPr>
            <w:tcW w:w="75" w:type="dxa"/>
            <w:tcBorders/>
            <w:vAlign w:val="bottom"/>
          </w:tcPr>
          <w:p>
            <w:pPr>
              <w:pStyle w:val="TableContents"/>
              <w:bidi w:val="0"/>
              <w:spacing w:before="0" w:after="283"/>
              <w:jc w:val="left"/>
              <w:rPr/>
            </w:pPr>
            <w:r>
              <w:rPr/>
              <w:t> </w:t>
            </w:r>
          </w:p>
        </w:tc>
      </w:tr>
      <w:tr>
        <w:trPr/>
        <w:tc>
          <w:tcPr>
            <w:tcW w:w="16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1,115</w:t>
            </w:r>
          </w:p>
        </w:tc>
        <w:tc>
          <w:tcPr>
            <w:tcW w:w="75" w:type="dxa"/>
            <w:tcBorders/>
            <w:shd w:fill="CCEEFF" w:val="clear"/>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right"/>
              <w:rPr/>
            </w:pPr>
            <w:r>
              <w:rPr/>
              <w:t> </w:t>
            </w:r>
          </w:p>
        </w:tc>
        <w:tc>
          <w:tcPr>
            <w:tcW w:w="17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61,046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31,093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46,928</w:t>
            </w:r>
          </w:p>
        </w:tc>
        <w:tc>
          <w:tcPr>
            <w:tcW w:w="75" w:type="dxa"/>
            <w:tcBorders/>
            <w:vAlign w:val="bottom"/>
          </w:tcPr>
          <w:p>
            <w:pPr>
              <w:pStyle w:val="TableContents"/>
              <w:bidi w:val="0"/>
              <w:spacing w:before="0" w:after="283"/>
              <w:jc w:val="left"/>
              <w:rPr/>
            </w:pPr>
            <w:r>
              <w:rPr/>
              <w:t> </w:t>
            </w:r>
          </w:p>
        </w:tc>
      </w:tr>
    </w:tbl>
    <w:p>
      <w:pPr>
        <w:pStyle w:val="TextBody"/>
        <w:bidi w:val="0"/>
        <w:spacing w:before="0" w:after="0"/>
        <w:ind w:left="600" w:right="0" w:hanging="0"/>
        <w:jc w:val="left"/>
        <w:rPr>
          <w:rFonts w:ascii="Times New Roman" w:hAnsi="Times New Roman"/>
          <w:sz w:val="20"/>
        </w:rPr>
      </w:pPr>
      <w:r>
        <w:rPr>
          <w:rFonts w:ascii="Times New Roman" w:hAnsi="Times New Roman"/>
          <w:sz w:val="20"/>
        </w:rPr>
      </w:r>
    </w:p>
    <w:p>
      <w:pPr>
        <w:pStyle w:val="TextBody"/>
        <w:bidi w:val="0"/>
        <w:spacing w:before="0" w:after="0"/>
        <w:ind w:left="547" w:right="0" w:hanging="0"/>
        <w:jc w:val="both"/>
        <w:rPr>
          <w:rFonts w:ascii="Times New Roman" w:hAnsi="Times New Roman"/>
          <w:color w:val="000000"/>
          <w:sz w:val="20"/>
          <w:shd w:fill="FFFFFF" w:val="clear"/>
        </w:rPr>
      </w:pPr>
      <w:r>
        <w:rPr>
          <w:rFonts w:ascii="Times New Roman" w:hAnsi="Times New Roman"/>
          <w:color w:val="000000"/>
          <w:sz w:val="20"/>
          <w:shd w:fill="FFFFFF" w:val="clear"/>
        </w:rPr>
        <w:t>A reconciliation of the statutory federal income tax rate to the Company’s effective income tax rate is as follows:</w:t>
      </w:r>
    </w:p>
    <w:p>
      <w:pPr>
        <w:pStyle w:val="TextBody"/>
        <w:bidi w:val="0"/>
        <w:spacing w:before="0" w:after="0"/>
        <w:jc w:val="left"/>
        <w:rPr>
          <w:rFonts w:ascii="Times New Roman" w:hAnsi="Times New Roman"/>
          <w:sz w:val="20"/>
        </w:rPr>
      </w:pPr>
      <w:r>
        <w:rPr>
          <w:rFonts w:ascii="Times New Roman" w:hAnsi="Times New Roman"/>
          <w:sz w:val="20"/>
        </w:rPr>
      </w:r>
    </w:p>
    <w:tbl>
      <w:tblPr>
        <w:tblW w:w="8432" w:type="dxa"/>
        <w:jc w:val="left"/>
        <w:tblInd w:w="600" w:type="dxa"/>
        <w:tblLayout w:type="fixed"/>
        <w:tblCellMar>
          <w:top w:w="0" w:type="dxa"/>
          <w:left w:w="0" w:type="dxa"/>
          <w:bottom w:w="0" w:type="dxa"/>
          <w:right w:w="0" w:type="dxa"/>
        </w:tblCellMar>
      </w:tblPr>
      <w:tblGrid>
        <w:gridCol w:w="4580"/>
        <w:gridCol w:w="60"/>
        <w:gridCol w:w="139"/>
        <w:gridCol w:w="885"/>
        <w:gridCol w:w="185"/>
        <w:gridCol w:w="60"/>
        <w:gridCol w:w="140"/>
        <w:gridCol w:w="899"/>
        <w:gridCol w:w="185"/>
        <w:gridCol w:w="60"/>
        <w:gridCol w:w="140"/>
        <w:gridCol w:w="899"/>
        <w:gridCol w:w="200"/>
      </w:tblGrid>
      <w:tr>
        <w:trPr/>
        <w:tc>
          <w:tcPr>
            <w:tcW w:w="4580" w:type="dxa"/>
            <w:tcBorders/>
            <w:vAlign w:val="bottom"/>
          </w:tcPr>
          <w:p>
            <w:pPr>
              <w:pStyle w:val="TableContents"/>
              <w:bidi w:val="0"/>
              <w:spacing w:before="0" w:after="283"/>
              <w:jc w:val="left"/>
              <w:rPr>
                <w:rFonts w:ascii="Times New Roman" w:hAnsi="Times New Roman"/>
              </w:rPr>
            </w:pPr>
            <w:r>
              <w:rPr>
                <w:rFonts w:ascii="Times New Roman" w:hAnsi="Times New Roman"/>
              </w:rPr>
            </w:r>
          </w:p>
        </w:tc>
        <w:tc>
          <w:tcPr>
            <w:tcW w:w="60" w:type="dxa"/>
            <w:tcBorders/>
            <w:vAlign w:val="bottom"/>
          </w:tcPr>
          <w:p>
            <w:pPr>
              <w:pStyle w:val="TableContents"/>
              <w:bidi w:val="0"/>
              <w:spacing w:before="0" w:after="283"/>
              <w:jc w:val="left"/>
              <w:rPr/>
            </w:pPr>
            <w:r>
              <w:rPr/>
              <w:t> </w:t>
            </w:r>
          </w:p>
        </w:tc>
        <w:tc>
          <w:tcPr>
            <w:tcW w:w="3592"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Fiscal year ended</w:t>
            </w:r>
          </w:p>
        </w:tc>
        <w:tc>
          <w:tcPr>
            <w:tcW w:w="200" w:type="dxa"/>
            <w:tcBorders/>
            <w:vAlign w:val="bottom"/>
          </w:tcPr>
          <w:p>
            <w:pPr>
              <w:pStyle w:val="TableContents"/>
              <w:bidi w:val="0"/>
              <w:spacing w:before="0" w:after="283"/>
              <w:jc w:val="left"/>
              <w:rPr/>
            </w:pPr>
            <w:r>
              <w:rPr/>
              <w:t> </w:t>
            </w:r>
          </w:p>
        </w:tc>
      </w:tr>
      <w:tr>
        <w:trPr/>
        <w:tc>
          <w:tcPr>
            <w:tcW w:w="45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28,</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29,</w:t>
              <w:br/>
              <w:t>2022</w:t>
            </w:r>
          </w:p>
        </w:tc>
        <w:tc>
          <w:tcPr>
            <w:tcW w:w="200" w:type="dxa"/>
            <w:tcBorders/>
            <w:vAlign w:val="bottom"/>
          </w:tcPr>
          <w:p>
            <w:pPr>
              <w:pStyle w:val="TableContents"/>
              <w:bidi w:val="0"/>
              <w:spacing w:before="0" w:after="283"/>
              <w:jc w:val="left"/>
              <w:rPr/>
            </w:pPr>
            <w:r>
              <w:rPr/>
              <w:t> </w:t>
            </w:r>
          </w:p>
        </w:tc>
      </w:tr>
      <w:tr>
        <w:trPr/>
        <w:tc>
          <w:tcPr>
            <w:tcW w:w="45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Statutory federal rate</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580" w:type="dxa"/>
            <w:tcBorders/>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State taxes, net of federal benefit</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200" w:type="dxa"/>
            <w:tcBorders/>
            <w:vAlign w:val="bottom"/>
          </w:tcPr>
          <w:p>
            <w:pPr>
              <w:pStyle w:val="TableContents"/>
              <w:bidi w:val="0"/>
              <w:spacing w:before="0" w:after="283"/>
              <w:jc w:val="left"/>
              <w:rPr/>
            </w:pPr>
            <w:r>
              <w:rPr/>
              <w:t> </w:t>
            </w:r>
          </w:p>
        </w:tc>
      </w:tr>
      <w:tr>
        <w:trPr/>
        <w:tc>
          <w:tcPr>
            <w:tcW w:w="4580" w:type="dxa"/>
            <w:tcBorders/>
            <w:shd w:fill="CCEE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Excess tax benefits related to stock-based compensation</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580" w:type="dxa"/>
            <w:tcBorders/>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58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pPr>
            <w:r>
              <w:rPr/>
              <w:t> </w:t>
            </w:r>
          </w:p>
        </w:tc>
        <w:tc>
          <w:tcPr>
            <w:tcW w:w="13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600" w:right="0" w:hanging="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p>
      <w:pPr>
        <w:pStyle w:val="TextBody"/>
        <w:bidi w:val="0"/>
        <w:spacing w:before="0" w:after="0"/>
        <w:ind w:left="547" w:right="0" w:hanging="0"/>
        <w:jc w:val="both"/>
        <w:rPr>
          <w:rFonts w:ascii="Times New Roman" w:hAnsi="Times New Roman"/>
          <w:color w:val="000000"/>
          <w:sz w:val="20"/>
          <w:shd w:fill="FFFFFF" w:val="clear"/>
        </w:rPr>
      </w:pPr>
      <w:r>
        <w:rPr>
          <w:rFonts w:ascii="Times New Roman" w:hAnsi="Times New Roman"/>
          <w:color w:val="000000"/>
          <w:sz w:val="20"/>
          <w:shd w:fill="FFFFFF" w:val="clear"/>
        </w:rPr>
        <w:t>Deferred income taxes reflect the effect of temporary differences between the carrying amounts of the assets and liabilities for financial reporting purposes and the carrying amounts used for income tax reporting purposes. Significant components of deferred tax assets and liabilities are as follows :</w:t>
      </w:r>
    </w:p>
    <w:p>
      <w:pPr>
        <w:pStyle w:val="TextBody"/>
        <w:bidi w:val="0"/>
        <w:spacing w:before="0" w:after="0"/>
        <w:jc w:val="left"/>
        <w:rPr>
          <w:rFonts w:ascii="Times New Roman" w:hAnsi="Times New Roman"/>
          <w:sz w:val="20"/>
        </w:rPr>
      </w:pPr>
      <w:r>
        <w:rPr>
          <w:rFonts w:ascii="Times New Roman" w:hAnsi="Times New Roman"/>
          <w:sz w:val="20"/>
        </w:rPr>
      </w:r>
    </w:p>
    <w:tbl>
      <w:tblPr>
        <w:tblW w:w="5153" w:type="dxa"/>
        <w:jc w:val="left"/>
        <w:tblInd w:w="600" w:type="dxa"/>
        <w:tblLayout w:type="fixed"/>
        <w:tblCellMar>
          <w:top w:w="0" w:type="dxa"/>
          <w:left w:w="0" w:type="dxa"/>
          <w:bottom w:w="0" w:type="dxa"/>
          <w:right w:w="0" w:type="dxa"/>
        </w:tblCellMar>
      </w:tblPr>
      <w:tblGrid>
        <w:gridCol w:w="2795"/>
        <w:gridCol w:w="60"/>
        <w:gridCol w:w="145"/>
        <w:gridCol w:w="879"/>
        <w:gridCol w:w="80"/>
        <w:gridCol w:w="60"/>
        <w:gridCol w:w="147"/>
        <w:gridCol w:w="892"/>
        <w:gridCol w:w="95"/>
      </w:tblGrid>
      <w:tr>
        <w:trPr/>
        <w:tc>
          <w:tcPr>
            <w:tcW w:w="2795" w:type="dxa"/>
            <w:tcBorders/>
            <w:vAlign w:val="bottom"/>
          </w:tcPr>
          <w:p>
            <w:pPr>
              <w:pStyle w:val="TableContents"/>
              <w:bidi w:val="0"/>
              <w:spacing w:before="0" w:after="283"/>
              <w:jc w:val="left"/>
              <w:rPr>
                <w:rFonts w:ascii="Times New Roman" w:hAnsi="Times New Roman"/>
              </w:rPr>
            </w:pPr>
            <w:r>
              <w:rPr>
                <w:rFonts w:ascii="Times New Roman" w:hAnsi="Times New Roman"/>
              </w:rPr>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28,</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203" w:type="dxa"/>
            <w:gridSpan w:val="6"/>
            <w:tcBorders/>
            <w:vAlign w:val="bottom"/>
          </w:tcPr>
          <w:p>
            <w:pPr>
              <w:pStyle w:val="TableContents"/>
              <w:bidi w:val="0"/>
              <w:spacing w:before="0" w:after="283"/>
              <w:jc w:val="center"/>
              <w:rPr>
                <w:rFonts w:ascii="Times New Roman" w:hAnsi="Times New Roman"/>
                <w:sz w:val="20"/>
              </w:rPr>
            </w:pPr>
            <w:r>
              <w:rPr>
                <w:rFonts w:ascii="Times New Roman" w:hAnsi="Times New Roman"/>
                <w:sz w:val="20"/>
              </w:rPr>
              <w:t xml:space="preserve">(in thousands) </w:t>
            </w:r>
          </w:p>
        </w:tc>
        <w:tc>
          <w:tcPr>
            <w:tcW w:w="95"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Deferred tax assets:</w:t>
            </w:r>
          </w:p>
        </w:tc>
        <w:tc>
          <w:tcPr>
            <w:tcW w:w="60"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Inventory reserves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732</w:t>
            </w:r>
          </w:p>
        </w:tc>
        <w:tc>
          <w:tcPr>
            <w:tcW w:w="95"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Lease liability</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122,006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110,100</w:t>
            </w:r>
          </w:p>
        </w:tc>
        <w:tc>
          <w:tcPr>
            <w:tcW w:w="9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4,448</w:t>
            </w:r>
          </w:p>
        </w:tc>
        <w:tc>
          <w:tcPr>
            <w:tcW w:w="95"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Deferred revenue</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2,034</w:t>
            </w:r>
          </w:p>
        </w:tc>
        <w:tc>
          <w:tcPr>
            <w:tcW w:w="9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3,370</w:t>
            </w:r>
          </w:p>
        </w:tc>
        <w:tc>
          <w:tcPr>
            <w:tcW w:w="95"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deferred tax assets</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134,173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120,684</w:t>
            </w:r>
          </w:p>
        </w:tc>
        <w:tc>
          <w:tcPr>
            <w:tcW w:w="95"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Deferred tax liabilities: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Tradename</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(57,721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(57,664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9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Depreciation</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(29,242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(24,485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9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Operating lease right-of-use assets</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(119,087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(109,167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9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deferred tax liabilities</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(206,050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(191,316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9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deferred tax liabilities</w:t>
            </w:r>
          </w:p>
        </w:tc>
        <w:tc>
          <w:tcPr>
            <w:tcW w:w="60" w:type="dxa"/>
            <w:tcBorders/>
            <w:vAlign w:val="bottom"/>
          </w:tcPr>
          <w:p>
            <w:pPr>
              <w:pStyle w:val="TableContents"/>
              <w:bidi w:val="0"/>
              <w:spacing w:before="0" w:after="283"/>
              <w:jc w:val="righ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(71,877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(70,632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600" w:right="0" w:hanging="0"/>
        <w:jc w:val="left"/>
        <w:rPr>
          <w:rFonts w:ascii="Times New Roman" w:hAnsi="Times New Roman"/>
          <w:sz w:val="20"/>
        </w:rPr>
      </w:pPr>
      <w:r>
        <w:rPr>
          <w:rFonts w:ascii="Times New Roman" w:hAnsi="Times New Roman"/>
          <w:sz w:val="20"/>
        </w:rPr>
      </w:r>
    </w:p>
    <w:p>
      <w:pPr>
        <w:pStyle w:val="TextBody"/>
        <w:bidi w:val="0"/>
        <w:spacing w:before="0" w:after="0"/>
        <w:ind w:left="547"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assessing the realizability of deferred tax assets, management considers whether it is more likely than not that some portion or all of the deferred tax assets will not be realized. The ultimate realization of deferred tax assets is dependent 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tax-planning strategies in making this assessment. Based on the level of historical taxable income and projections for future taxable income and the scheduled reversal of deferred liabilities over the periods in which the deferred tax assets are deductible, management believes it is more likely than not that the Company will realize the benefits of these </w:t>
      </w:r>
      <w:r>
        <w:rPr>
          <w:rFonts w:ascii="Times New Roman" w:hAnsi="Times New Roman"/>
          <w:b w:val="false"/>
          <w:i w:val="false"/>
          <w:caps w:val="false"/>
          <w:smallCaps w:val="false"/>
          <w:color w:val="000000"/>
          <w:spacing w:val="0"/>
          <w:sz w:val="20"/>
          <w:shd w:fill="FFFFFF" w:val="clear"/>
        </w:rPr>
        <w:t>deductible differences as of</w:t>
      </w:r>
      <w:r>
        <w:rPr>
          <w:rFonts w:ascii="Times New Roman" w:hAnsi="Times New Roman"/>
          <w:color w:val="000000"/>
          <w:sz w:val="20"/>
          <w:shd w:fill="FFFFFF" w:val="clear"/>
        </w:rPr>
        <w:t xml:space="preserve"> February 3, 2024 </w:t>
      </w:r>
      <w:r>
        <w:rPr>
          <w:rFonts w:ascii="Times New Roman" w:hAnsi="Times New Roman"/>
          <w:b w:val="false"/>
          <w:i w:val="false"/>
          <w:caps w:val="false"/>
          <w:smallCaps w:val="false"/>
          <w:color w:val="000000"/>
          <w:spacing w:val="0"/>
          <w:sz w:val="20"/>
          <w:shd w:fill="FFFFFF" w:val="clear"/>
        </w:rPr>
        <w:t>and January 28, 2023</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547" w:right="0" w:hanging="0"/>
        <w:jc w:val="both"/>
        <w:rPr>
          <w:rFonts w:ascii="Times New Roman;Times;serif" w:hAnsi="Times New Roman;Times;serif"/>
          <w:color w:val="000000"/>
          <w:sz w:val="20"/>
          <w:shd w:fill="FFFFFF" w:val="clear"/>
        </w:rPr>
      </w:pPr>
      <w:r>
        <w:rPr>
          <w:rFonts w:ascii="Times New Roman" w:hAnsi="Times New Roman"/>
          <w:color w:val="000000"/>
          <w:sz w:val="20"/>
          <w:shd w:fill="FFFFFF" w:val="clear"/>
        </w:rPr>
        <w:t xml:space="preserve">Ollie’s has no material accrual for uncertain tax positions or interest or penalties related to income taxes on the Company’s </w:t>
      </w:r>
      <w:r>
        <w:rPr>
          <w:rFonts w:ascii="Times New Roman" w:hAnsi="Times New Roman"/>
          <w:b w:val="false"/>
          <w:i w:val="false"/>
          <w:caps w:val="false"/>
          <w:smallCaps w:val="false"/>
          <w:color w:val="000000"/>
          <w:spacing w:val="0"/>
          <w:sz w:val="20"/>
          <w:shd w:fill="FFFFFF" w:val="clear"/>
        </w:rPr>
        <w:t>consolidated balance sheets as of February 3, 2024 or January 28, 2023, and has not recognized any material uncertain tax positions or interest or penalties related to income taxes in the consolidated statements of income for 2023, 2022 or 2021</w:t>
      </w:r>
      <w:r>
        <w:rPr>
          <w:rFonts w:ascii="Times New Roman" w:hAnsi="Times New Roman"/>
          <w:color w:val="000000"/>
          <w:sz w:val="20"/>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tbl>
      <w:tblPr>
        <w:tblW w:w="2200" w:type="dxa"/>
        <w:jc w:val="left"/>
        <w:tblInd w:w="0" w:type="dxa"/>
        <w:tblLayout w:type="fixed"/>
        <w:tblCellMar>
          <w:top w:w="0" w:type="dxa"/>
          <w:left w:w="0" w:type="dxa"/>
          <w:bottom w:w="0" w:type="dxa"/>
          <w:right w:w="0" w:type="dxa"/>
        </w:tblCellMar>
      </w:tblPr>
      <w:tblGrid>
        <w:gridCol w:w="260"/>
        <w:gridCol w:w="1940"/>
      </w:tblGrid>
      <w:tr>
        <w:trPr/>
        <w:tc>
          <w:tcPr>
            <w:tcW w:w="2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(9)</w:t>
            </w:r>
          </w:p>
        </w:tc>
        <w:tc>
          <w:tcPr>
            <w:tcW w:w="19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Equity Incentive Plans</w:t>
            </w:r>
          </w:p>
        </w:tc>
      </w:tr>
    </w:tbl>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During 2012, Ollie’s established an equity incentive plan (the “2012 Plan”) under which stock options were granted to executive officers and key employees as deemed appropriate under the provisions of the 2012 Plan, with an exercise price at the fair value of the underlying stock on the date of grant. The vesting period for options granted under the 2012 Plan is five years (20% ratably per year). Options granted under the 2012 Plan are subject to employment for vesting, expire 10 years from the date of grant, and are not transferable other than upon death. As of July 15, 2015, the date of the pricing of the Company’s initial public offering, no additional equity grants will be made under the 2012 Plan.</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its initial public offering, the Company adopted the 2015 equity incentive plan (the “2015 Plan”) pursuant to which the Company’s Board of Directors may grant stock options, restricted shares or other awards to employees, directors and consultants.  The 2015 Plan allows for the issuance of up to 5,250,000 shares. Awards will be made pursuant to agreements and may be subject to vesting and other restrictions as determined by the Board of Directors or the Compensation Committee of the Board. The Company uses authorized and unissued shares to satisfy share award exercises. As of February 3, 2024, there were 1,957,583 shares available for grant under the 2015 Plan.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p>
      <w:pPr>
        <w:pStyle w:val="TextBody"/>
        <w:bidi w:val="0"/>
        <w:spacing w:before="0" w:after="0"/>
        <w:ind w:left="540"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Stock Options</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exercise price for stock options is determined at the fair value of the underlying stock on the date of grant.  The vesting period for awards granted under the 2015 Plan is generally set at four years (25% ratably per year). Awards are subject to employment for vesting, expire 10 years from the date of grant, and are not transferable other than upon death.</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 summary of the Company’s stock option activity and related information follows for 2021, 2022 and 2023:</w:t>
      </w:r>
    </w:p>
    <w:p>
      <w:pPr>
        <w:pStyle w:val="TextBody"/>
        <w:bidi w:val="0"/>
        <w:spacing w:before="0" w:after="0"/>
        <w:jc w:val="left"/>
        <w:rPr/>
      </w:pPr>
      <w:r>
        <w:rPr/>
      </w:r>
    </w:p>
    <w:tbl>
      <w:tblPr>
        <w:tblW w:w="7213" w:type="dxa"/>
        <w:jc w:val="left"/>
        <w:tblInd w:w="600" w:type="dxa"/>
        <w:tblLayout w:type="fixed"/>
        <w:tblCellMar>
          <w:top w:w="0" w:type="dxa"/>
          <w:left w:w="0" w:type="dxa"/>
          <w:bottom w:w="0" w:type="dxa"/>
          <w:right w:w="0" w:type="dxa"/>
        </w:tblCellMar>
      </w:tblPr>
      <w:tblGrid>
        <w:gridCol w:w="2675"/>
        <w:gridCol w:w="60"/>
        <w:gridCol w:w="60"/>
        <w:gridCol w:w="845"/>
        <w:gridCol w:w="80"/>
        <w:gridCol w:w="60"/>
        <w:gridCol w:w="170"/>
        <w:gridCol w:w="660"/>
        <w:gridCol w:w="60"/>
        <w:gridCol w:w="60"/>
        <w:gridCol w:w="188"/>
        <w:gridCol w:w="866"/>
        <w:gridCol w:w="60"/>
        <w:gridCol w:w="60"/>
        <w:gridCol w:w="215"/>
        <w:gridCol w:w="1019"/>
        <w:gridCol w:w="75"/>
      </w:tblGrid>
      <w:tr>
        <w:trPr/>
        <w:tc>
          <w:tcPr>
            <w:tcW w:w="26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options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exercise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contractual</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term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Aggregate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intrinsic value</w:t>
            </w:r>
          </w:p>
        </w:tc>
        <w:tc>
          <w:tcPr>
            <w:tcW w:w="75" w:type="dxa"/>
            <w:tcBorders/>
            <w:vAlign w:val="bottom"/>
          </w:tcPr>
          <w:p>
            <w:pPr>
              <w:pStyle w:val="TableContents"/>
              <w:bidi w:val="0"/>
              <w:spacing w:before="0" w:after="283"/>
              <w:jc w:val="left"/>
              <w:rPr/>
            </w:pPr>
            <w:r>
              <w:rPr/>
              <w:t> </w:t>
            </w:r>
          </w:p>
        </w:tc>
      </w:tr>
      <w:tr>
        <w:trPr/>
        <w:tc>
          <w:tcPr>
            <w:tcW w:w="26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3" w:type="dxa"/>
            <w:gridSpan w:val="14"/>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 thousands, except share and per share amounts)</w:t>
            </w:r>
          </w:p>
        </w:tc>
        <w:tc>
          <w:tcPr>
            <w:tcW w:w="75" w:type="dxa"/>
            <w:tcBorders/>
            <w:vAlign w:val="bottom"/>
          </w:tcPr>
          <w:p>
            <w:pPr>
              <w:pStyle w:val="TableContents"/>
              <w:bidi w:val="0"/>
              <w:spacing w:before="0" w:after="283"/>
              <w:jc w:val="left"/>
              <w:rPr/>
            </w:pPr>
            <w:r>
              <w:rPr/>
              <w:t> </w:t>
            </w:r>
          </w:p>
        </w:tc>
      </w:tr>
      <w:tr>
        <w:trPr/>
        <w:tc>
          <w:tcPr>
            <w:tcW w:w="2675" w:type="dxa"/>
            <w:tcBorders/>
            <w:shd w:fill="CCEE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Outstanding at January 30,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1,244,235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r>
          </w:p>
        </w:tc>
        <w:tc>
          <w:tcPr>
            <w:tcW w:w="75" w:type="dxa"/>
            <w:tcBorders/>
            <w:shd w:fill="CCEEFF" w:val="clear"/>
            <w:vAlign w:val="bottom"/>
          </w:tcPr>
          <w:p>
            <w:pPr>
              <w:pStyle w:val="TableContents"/>
              <w:bidi w:val="0"/>
              <w:spacing w:before="0" w:after="283"/>
              <w:jc w:val="left"/>
              <w:rPr/>
            </w:pPr>
            <w:r>
              <w:rPr/>
              <w:t> </w:t>
            </w:r>
          </w:p>
        </w:tc>
      </w:tr>
      <w:tr>
        <w:trPr/>
        <w:tc>
          <w:tcPr>
            <w:tcW w:w="267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298,990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675"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(129,233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67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Exercised</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(304,677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675" w:type="dxa"/>
            <w:tcBorders/>
            <w:shd w:fill="CCEE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Outstanding at January 29,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1,109,315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67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328,938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675"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(110,295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67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Exercised</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(118,707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675" w:type="dxa"/>
            <w:tcBorders/>
            <w:shd w:fill="CCEE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Outstanding at January 28,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1,209,251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67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144,630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675"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(54,119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67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Exercised</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(180,278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675" w:type="dxa"/>
            <w:tcBorders/>
            <w:shd w:fill="CCEE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Outstanding at February 3, 2024</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1,119,484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23,406</w:t>
            </w:r>
          </w:p>
        </w:tc>
        <w:tc>
          <w:tcPr>
            <w:tcW w:w="75" w:type="dxa"/>
            <w:tcBorders/>
            <w:shd w:fill="CCEEFF" w:val="clear"/>
            <w:vAlign w:val="bottom"/>
          </w:tcPr>
          <w:p>
            <w:pPr>
              <w:pStyle w:val="TableContents"/>
              <w:bidi w:val="0"/>
              <w:spacing w:before="0" w:after="283"/>
              <w:jc w:val="left"/>
              <w:rPr/>
            </w:pPr>
            <w:r>
              <w:rPr/>
              <w:t> </w:t>
            </w:r>
          </w:p>
        </w:tc>
      </w:tr>
      <w:tr>
        <w:trPr/>
        <w:tc>
          <w:tcPr>
            <w:tcW w:w="2675" w:type="dxa"/>
            <w:tcBorders/>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Exercisable at February 3, 2024</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582,221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283"/>
              <w:jc w:val="left"/>
              <w:rPr/>
            </w:pPr>
            <w:r>
              <w:rPr/>
              <w:t> </w:t>
            </w:r>
          </w:p>
        </w:tc>
        <w:tc>
          <w:tcPr>
            <w:tcW w:w="86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11,843</w:t>
            </w:r>
          </w:p>
        </w:tc>
        <w:tc>
          <w:tcPr>
            <w:tcW w:w="75" w:type="dxa"/>
            <w:tcBorders/>
            <w:vAlign w:val="bottom"/>
          </w:tcPr>
          <w:p>
            <w:pPr>
              <w:pStyle w:val="TableContents"/>
              <w:bidi w:val="0"/>
              <w:spacing w:before="0" w:after="283"/>
              <w:jc w:val="left"/>
              <w:rPr/>
            </w:pPr>
            <w:r>
              <w:rPr/>
              <w:t> </w:t>
            </w:r>
          </w:p>
        </w:tc>
      </w:tr>
    </w:tbl>
    <w:p>
      <w:pPr>
        <w:pStyle w:val="TextBody"/>
        <w:bidi w:val="0"/>
        <w:spacing w:before="0" w:after="0"/>
        <w:ind w:left="600" w:right="0" w:hanging="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intrinsic value of stock options exercised for 2023, 2022 and 2021 was $5.8 million, $3.5 million and $17.0 million, respectively.</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weighted average grant date fair value per option for options granted during 2023, 2022 and 2021 was $29.07, $20.62, and $33.38, respectively. The fair value of each option award is estimated on the date of grant using the Black-Scholes option-pricing model that used the weighted average assumptions in the following table:</w:t>
      </w:r>
    </w:p>
    <w:p>
      <w:pPr>
        <w:pStyle w:val="TextBody"/>
        <w:bidi w:val="0"/>
        <w:spacing w:before="0" w:after="0"/>
        <w:jc w:val="left"/>
        <w:rPr/>
      </w:pPr>
      <w:r>
        <w:rPr/>
      </w:r>
    </w:p>
    <w:tbl>
      <w:tblPr>
        <w:tblW w:w="5897" w:type="dxa"/>
        <w:jc w:val="left"/>
        <w:tblInd w:w="600" w:type="dxa"/>
        <w:tblLayout w:type="fixed"/>
        <w:tblCellMar>
          <w:top w:w="0" w:type="dxa"/>
          <w:left w:w="0" w:type="dxa"/>
          <w:bottom w:w="0" w:type="dxa"/>
          <w:right w:w="0" w:type="dxa"/>
        </w:tblCellMar>
      </w:tblPr>
      <w:tblGrid>
        <w:gridCol w:w="2045"/>
        <w:gridCol w:w="60"/>
        <w:gridCol w:w="112"/>
        <w:gridCol w:w="912"/>
        <w:gridCol w:w="185"/>
        <w:gridCol w:w="60"/>
        <w:gridCol w:w="113"/>
        <w:gridCol w:w="926"/>
        <w:gridCol w:w="185"/>
        <w:gridCol w:w="60"/>
        <w:gridCol w:w="113"/>
        <w:gridCol w:w="926"/>
        <w:gridCol w:w="200"/>
      </w:tblGrid>
      <w:tr>
        <w:trPr/>
        <w:tc>
          <w:tcPr>
            <w:tcW w:w="20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92"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Fiscal Year Ended</w:t>
            </w:r>
          </w:p>
        </w:tc>
        <w:tc>
          <w:tcPr>
            <w:tcW w:w="200"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February 3,</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January 28,</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January 29,</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0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Risk-free interest rate</w:t>
            </w:r>
          </w:p>
        </w:tc>
        <w:tc>
          <w:tcPr>
            <w:tcW w:w="6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3.36</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2.63</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1.33</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vAlign w:val="bottom"/>
          </w:tcPr>
          <w:p>
            <w:pPr>
              <w:pStyle w:val="TableContents"/>
              <w:bidi w:val="0"/>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Expected dividend yield</w:t>
            </w:r>
          </w:p>
        </w:tc>
        <w:tc>
          <w:tcPr>
            <w:tcW w:w="60"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caps w:val="false"/>
                <w:smallCaps w:val="false"/>
                <w:color w:val="000000"/>
              </w:rPr>
            </w:pPr>
            <w:r>
              <w:rPr>
                <w:caps w:val="false"/>
                <w:smallCaps w:val="false"/>
                <w:color w:val="000000"/>
              </w:rPr>
              <w:t>—</w:t>
            </w:r>
          </w:p>
        </w:tc>
        <w:tc>
          <w:tcPr>
            <w:tcW w:w="20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Expected life</w:t>
            </w:r>
          </w:p>
        </w:tc>
        <w:tc>
          <w:tcPr>
            <w:tcW w:w="60" w:type="dxa"/>
            <w:tcBorders/>
            <w:shd w:fill="CCEEFF" w:val="clear"/>
            <w:vAlign w:val="bottom"/>
          </w:tcPr>
          <w:p>
            <w:pPr>
              <w:pStyle w:val="TableContents"/>
              <w:bidi w:val="0"/>
              <w:spacing w:before="0" w:after="283"/>
              <w:jc w:val="left"/>
              <w:rPr/>
            </w:pPr>
            <w:r>
              <w:rPr/>
              <w:t> </w:t>
            </w:r>
          </w:p>
        </w:tc>
        <w:tc>
          <w:tcPr>
            <w:tcW w:w="1024" w:type="dxa"/>
            <w:gridSpan w:val="2"/>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6.25 years</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9" w:type="dxa"/>
            <w:gridSpan w:val="2"/>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6.25 years</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9" w:type="dxa"/>
            <w:gridSpan w:val="2"/>
            <w:tcBorders/>
            <w:shd w:fill="CCEEFF" w:val="clear"/>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6.25 years</w:t>
            </w:r>
          </w:p>
        </w:tc>
        <w:tc>
          <w:tcPr>
            <w:tcW w:w="200"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44" w:right="0" w:hanging="144"/>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Expected volatility</w:t>
            </w:r>
          </w:p>
        </w:tc>
        <w:tc>
          <w:tcPr>
            <w:tcW w:w="60"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47.16</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44.40</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38.39</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54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expected life of stock options is estimated using the “simplified method,” as the Company does not have sufficient historical information to develop reasonable expectations about future exercise patterns and post-vesting employment termination behavior for its stock option grants.  The simplified method is based on the average of the vesting tranches and the contractual life of each grant.  For expected volatility, the Company uses its historical information over the expected life of the option granted to calculate the fair value of option grants.  The risk-free interest rate is based on U.S. Treasury notes with a term approximating the expected life of the option. </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Restricted Stock Units</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Restricted stock units (“RSUs”) are issued at the closing price of the Company’s common stock on the date of grant.  RSUs outstanding vest ratably over four years or cliff vest in one or four years.  Awards are subject to employment for vesting and are not transferable other than upon death.</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 summary of the Company’s RSU activity and related information for 2021, 2022 and 2023 is as follows:</w:t>
      </w:r>
    </w:p>
    <w:p>
      <w:pPr>
        <w:pStyle w:val="TextBody"/>
        <w:bidi w:val="0"/>
        <w:spacing w:before="0" w:after="0"/>
        <w:jc w:val="left"/>
        <w:rPr/>
      </w:pPr>
      <w:r>
        <w:rPr/>
      </w:r>
    </w:p>
    <w:tbl>
      <w:tblPr>
        <w:tblW w:w="5194" w:type="dxa"/>
        <w:jc w:val="left"/>
        <w:tblInd w:w="600" w:type="dxa"/>
        <w:tblLayout w:type="fixed"/>
        <w:tblCellMar>
          <w:top w:w="0" w:type="dxa"/>
          <w:left w:w="0" w:type="dxa"/>
          <w:bottom w:w="0" w:type="dxa"/>
          <w:right w:w="0" w:type="dxa"/>
        </w:tblCellMar>
      </w:tblPr>
      <w:tblGrid>
        <w:gridCol w:w="3215"/>
        <w:gridCol w:w="60"/>
        <w:gridCol w:w="60"/>
        <w:gridCol w:w="755"/>
        <w:gridCol w:w="80"/>
        <w:gridCol w:w="60"/>
        <w:gridCol w:w="182"/>
        <w:gridCol w:w="707"/>
        <w:gridCol w:w="75"/>
      </w:tblGrid>
      <w:tr>
        <w:trPr/>
        <w:tc>
          <w:tcPr>
            <w:tcW w:w="3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grant date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Nonvested balance at January 30, 2021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148,838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52.28</w:t>
            </w:r>
          </w:p>
        </w:tc>
        <w:tc>
          <w:tcPr>
            <w:tcW w:w="75"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59,195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83.18</w:t>
            </w:r>
          </w:p>
        </w:tc>
        <w:tc>
          <w:tcPr>
            <w:tcW w:w="75"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(19,887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62.27</w:t>
            </w:r>
          </w:p>
        </w:tc>
        <w:tc>
          <w:tcPr>
            <w:tcW w:w="75"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Vested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(62,663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44.51</w:t>
            </w:r>
          </w:p>
        </w:tc>
        <w:tc>
          <w:tcPr>
            <w:tcW w:w="75"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Nonvested balance at January 29,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125,483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69.15</w:t>
            </w:r>
          </w:p>
        </w:tc>
        <w:tc>
          <w:tcPr>
            <w:tcW w:w="75"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235,754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44.04</w:t>
            </w:r>
          </w:p>
        </w:tc>
        <w:tc>
          <w:tcPr>
            <w:tcW w:w="75"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(35,457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51.49</w:t>
            </w:r>
          </w:p>
        </w:tc>
        <w:tc>
          <w:tcPr>
            <w:tcW w:w="75"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Vested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(49,502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67.33</w:t>
            </w:r>
          </w:p>
        </w:tc>
        <w:tc>
          <w:tcPr>
            <w:tcW w:w="75"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Nonvested balance at January 28,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276,278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50.32</w:t>
            </w:r>
          </w:p>
        </w:tc>
        <w:tc>
          <w:tcPr>
            <w:tcW w:w="75"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205,663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58.10</w:t>
            </w:r>
          </w:p>
        </w:tc>
        <w:tc>
          <w:tcPr>
            <w:tcW w:w="75"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(27,783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53.24</w:t>
            </w:r>
          </w:p>
        </w:tc>
        <w:tc>
          <w:tcPr>
            <w:tcW w:w="75"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288" w:right="0" w:hanging="144"/>
              <w:jc w:val="left"/>
              <w:rPr>
                <w:rFonts w:ascii="Times New Roman;Times;serif" w:hAnsi="Times New Roman;Times;serif"/>
                <w:sz w:val="20"/>
              </w:rPr>
            </w:pPr>
            <w:r>
              <w:rPr>
                <w:rFonts w:ascii="Times New Roman;Times;serif" w:hAnsi="Times New Roman;Times;serif"/>
                <w:sz w:val="20"/>
              </w:rPr>
              <w:t>Vested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(103,354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52.70</w:t>
            </w:r>
          </w:p>
        </w:tc>
        <w:tc>
          <w:tcPr>
            <w:tcW w:w="75"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Nonvested balance at February 3, 2024</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350,804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53.94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600" w:right="0" w:hanging="0"/>
        <w:jc w:val="left"/>
        <w:rPr/>
      </w:pPr>
      <w:r>
        <w:rPr/>
      </w:r>
    </w:p>
    <w:p>
      <w:pPr>
        <w:pStyle w:val="TextBody"/>
        <w:bidi w:val="0"/>
        <w:spacing w:before="0" w:after="0"/>
        <w:ind w:left="540"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Stock-Based Compensation Expense</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compensation cost for stock options and RSUs which has been recorded within SG&amp;A was $12.2 million, $10.0 million, and $8.0 million for 2023, 2022 and 2021, respectively.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February 3, 2024, there was $22.1 million of total unrecognized compensation cost related to non-vested stock-based compensation arrangements. That cost is expected to be recognized over a weighted average period of 2.5 years. Compensation costs related to awards are recognized using the straight-line method.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tbl>
      <w:tblPr>
        <w:tblW w:w="2410" w:type="dxa"/>
        <w:jc w:val="left"/>
        <w:tblInd w:w="0" w:type="dxa"/>
        <w:tblLayout w:type="fixed"/>
        <w:tblCellMar>
          <w:top w:w="0" w:type="dxa"/>
          <w:left w:w="0" w:type="dxa"/>
          <w:bottom w:w="0" w:type="dxa"/>
          <w:right w:w="0" w:type="dxa"/>
        </w:tblCellMar>
      </w:tblPr>
      <w:tblGrid>
        <w:gridCol w:w="365"/>
        <w:gridCol w:w="2045"/>
      </w:tblGrid>
      <w:tr>
        <w:trPr/>
        <w:tc>
          <w:tcPr>
            <w:tcW w:w="36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(10)</w:t>
            </w:r>
          </w:p>
        </w:tc>
        <w:tc>
          <w:tcPr>
            <w:tcW w:w="204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Employee Benefit Plans</w:t>
            </w:r>
          </w:p>
        </w:tc>
      </w:tr>
    </w:tbl>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Ollie’s sponsors a defined contribution plan (the “Plan”), qualified under Internal Revenue Code (“IRC”) Section 401(k), for the benefit of employees. An employee becomes eligible to participate in the Plan upon attaining at least 21 years of age and completing three months of full-time employment. An employee may elect to contribute annual compensation up to the maximum allowable under the IRC. The Company assumes all administrative costs of the Plan and matches the employee’s contribution up to 25% of the first 6% of their annual compensation. The portion that the Company matches is vested ratably over six years. Beginning January 2024, the Company increased matches for employee contributions to 100% of the first 3% contributed of employee’s annual compensation, and 50% of the next 2% contributed for a total match of up to 4%. The enhancements to the plan also include 100% immediate vesting of the portion that the Company matches. The employer matching contributions to the Plan were $0.4 million, $0.3 million, and $0.2 million for 2023, 2022 and 2021, respectively.</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addition to the regular matching contribution, the Company may elect to make a discretionary matching contribution. Discretionary contributions shall be allocated as a percentage of compensation of eligible participants for the Plan year. There were no discretionary contributions in 2023, 2022 or 2021.</w:t>
      </w:r>
    </w:p>
    <w:p>
      <w:pPr>
        <w:pStyle w:val="TextBody"/>
        <w:bidi w:val="0"/>
        <w:spacing w:before="0" w:after="0"/>
        <w:jc w:val="left"/>
        <w:rPr/>
      </w:pPr>
      <w:r>
        <w:rPr/>
      </w:r>
    </w:p>
    <w:tbl>
      <w:tblPr>
        <w:tblW w:w="1690" w:type="dxa"/>
        <w:jc w:val="left"/>
        <w:tblInd w:w="0" w:type="dxa"/>
        <w:tblLayout w:type="fixed"/>
        <w:tblCellMar>
          <w:top w:w="0" w:type="dxa"/>
          <w:left w:w="0" w:type="dxa"/>
          <w:bottom w:w="0" w:type="dxa"/>
          <w:right w:w="0" w:type="dxa"/>
        </w:tblCellMar>
      </w:tblPr>
      <w:tblGrid>
        <w:gridCol w:w="365"/>
        <w:gridCol w:w="1325"/>
      </w:tblGrid>
      <w:tr>
        <w:trPr/>
        <w:tc>
          <w:tcPr>
            <w:tcW w:w="3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132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Common Stock</w:t>
            </w:r>
          </w:p>
        </w:tc>
      </w:tr>
    </w:tbl>
    <w:p>
      <w:pPr>
        <w:pStyle w:val="TextBody"/>
        <w:bidi w:val="0"/>
        <w:spacing w:before="0" w:after="0"/>
        <w:jc w:val="left"/>
        <w:rPr/>
      </w:pPr>
      <w:r>
        <w:rPr/>
      </w:r>
    </w:p>
    <w:p>
      <w:pPr>
        <w:pStyle w:val="TextBody"/>
        <w:bidi w:val="0"/>
        <w:spacing w:before="0" w:after="0"/>
        <w:ind w:left="540"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Common Stock</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Company’s capital structure consists of a single class of common stock with one vote per share.  The Company has authorized 500,000,000 shares at $0.001 par value per share.  Additionally, the Company has authorized 50,000,000 shares of preferred stock at $0.001 par value per share; to date, however, no preferred shares have been issued. Treasury stock, which consists of the Company’s common stock, is accounted for using the cost method.</w:t>
      </w:r>
    </w:p>
    <w:p>
      <w:pPr>
        <w:pStyle w:val="TextBody"/>
        <w:bidi w:val="0"/>
        <w:spacing w:before="0" w:after="0"/>
        <w:jc w:val="left"/>
        <w:rPr/>
      </w:pPr>
      <w:r>
        <w:rPr/>
      </w:r>
    </w:p>
    <w:p>
      <w:pPr>
        <w:pStyle w:val="TextBody"/>
        <w:bidi w:val="0"/>
        <w:spacing w:before="0" w:after="0"/>
        <w:ind w:left="540"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Share Repurchase Program</w:t>
      </w:r>
    </w:p>
    <w:p>
      <w:pPr>
        <w:pStyle w:val="TextBody"/>
        <w:bidi w:val="0"/>
        <w:spacing w:before="0" w:after="0"/>
        <w:ind w:left="540" w:right="0" w:hanging="0"/>
        <w:jc w:val="both"/>
        <w:rPr/>
      </w:pPr>
      <w:r>
        <w:rPr/>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On December 15, 2020, the Board of Directors of the Company authorized the repurchase of up to $100.0 million of shares of the Company’s common stock. On March 16, 2021, the Board of Directors of the Company authorized an increase of $100.0 million in the Company’s share repurchase program.  Both of these authorizations were authorized to be executed through January 2023. On November 30, 2021, the Board authorized an additional $200.0 million to repurchase stock pursuant to the Company’s share repurchase program, expiring on December 15, 2023. On November 30, 2023, the Company’s Board of Directors authorized an extension to the existing share repurchase program set to expire on December 15, 2023, until March 31, 2026. </w:t>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54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shares to be repurchased may be purchased from time to time in open market conditions (including blocks), privately negotiated transactions, accelerated share repurchase programs or other derivative transactions, issuer self-tender offers, or any combination of the foregoing.  The timing of repurchases and the actual amount purchased will depend on a variety of factors, including the market price of the Company’s shares, general market, economic and business conditions, and other corporate considerations.  Repurchases may be made pursuant to plans intended to comply with Rule 10b5-1 under the Securities Exchange Act of 1934, which could allow the Company to purchase its shares during periods when it otherwise might be prevented from doing so under insider trading laws or because of self-imposed trading blackout periods.  Repurchases are expected to be funded from cash on hand or through the utilization of the Company’s Revolving Credit Facility.  The repurchase authorization does not require the purchase of a specific number of shares and is subject to suspension or termination by the Company’s Board of Directors at any time. </w:t>
      </w:r>
    </w:p>
    <w:p>
      <w:pPr>
        <w:pStyle w:val="TextBody"/>
        <w:bidi w:val="0"/>
        <w:spacing w:before="0" w:after="0"/>
        <w:ind w:left="54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200" w:after="200"/>
        <w:jc w:val="left"/>
        <w:rPr/>
      </w:pPr>
      <w:hyperlink w:anchor="INDEX">
        <w:r>
          <w:rPr/>
        </w:r>
      </w:hyperlink>
    </w:p>
    <w:p>
      <w:pPr>
        <w:pStyle w:val="TextBody"/>
        <w:bidi w:val="0"/>
        <w:spacing w:before="200" w:after="20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OLLIE’S BARGAIN OUTLET HOLDINGS, INC. AND SUBSIDIARIES</w:t>
      </w:r>
    </w:p>
    <w:p>
      <w:pPr>
        <w:pStyle w:val="TextBody"/>
        <w:bidi w:val="0"/>
        <w:spacing w:before="200" w:after="200"/>
        <w:jc w:val="center"/>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Notes to Consolidated Financial Statements</w:t>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During 2023, the Company repurchased 808,669 shares of its common stock for $52.5 million, inclusive of transaction costs, pursuant to its share repurchase program. During 2022, the Company repurchased 848,133 shares of its common stock for $41.8 million, inclusive of transaction costs, and during 2021, it repurchased 3,113,981 shares of its common stock for $220.0 million, inclusive of transaction costs.  These expenditures were funded by cash on hand. As of February 3, 2024, the Company had $85.7 million remaining under its share repurchase authorization.  There can be no assurances that any additional repurchases will be completed, or as to the timing or amount of any repurchases.</w:t>
      </w:r>
    </w:p>
    <w:p>
      <w:pPr>
        <w:pStyle w:val="TextBody"/>
        <w:bidi w:val="0"/>
        <w:spacing w:before="0" w:after="0"/>
        <w:jc w:val="left"/>
        <w:rPr/>
      </w:pPr>
      <w:r>
        <w:rPr/>
      </w:r>
    </w:p>
    <w:tbl>
      <w:tblPr>
        <w:tblW w:w="4540" w:type="dxa"/>
        <w:jc w:val="left"/>
        <w:tblInd w:w="0" w:type="dxa"/>
        <w:tblLayout w:type="fixed"/>
        <w:tblCellMar>
          <w:top w:w="0" w:type="dxa"/>
          <w:left w:w="0" w:type="dxa"/>
          <w:bottom w:w="0" w:type="dxa"/>
          <w:right w:w="0" w:type="dxa"/>
        </w:tblCellMar>
      </w:tblPr>
      <w:tblGrid>
        <w:gridCol w:w="365"/>
        <w:gridCol w:w="4175"/>
      </w:tblGrid>
      <w:tr>
        <w:trPr/>
        <w:tc>
          <w:tcPr>
            <w:tcW w:w="36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(12)</w:t>
            </w:r>
          </w:p>
        </w:tc>
        <w:tc>
          <w:tcPr>
            <w:tcW w:w="417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Segment Reporting and Entity-Wide Information</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For purposes of the disclosure requirements for segments of a business enterprise, it has been determined that the Company is comprised of one operating segment.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percentage of net sales by each product group for each year presented:</w:t>
      </w:r>
    </w:p>
    <w:p>
      <w:pPr>
        <w:pStyle w:val="TextBody"/>
        <w:bidi w:val="0"/>
        <w:spacing w:before="0" w:after="0"/>
        <w:jc w:val="left"/>
        <w:rPr>
          <w:rFonts w:ascii="Times New Roman" w:hAnsi="Times New Roman"/>
        </w:rPr>
      </w:pPr>
      <w:r>
        <w:rPr>
          <w:rFonts w:ascii="Times New Roman" w:hAnsi="Times New Roman"/>
        </w:rPr>
      </w:r>
    </w:p>
    <w:tbl>
      <w:tblPr>
        <w:tblW w:w="6830" w:type="dxa"/>
        <w:jc w:val="left"/>
        <w:tblInd w:w="540" w:type="dxa"/>
        <w:tblLayout w:type="fixed"/>
        <w:tblCellMar>
          <w:top w:w="0" w:type="dxa"/>
          <w:left w:w="0" w:type="dxa"/>
          <w:bottom w:w="0" w:type="dxa"/>
          <w:right w:w="0" w:type="dxa"/>
        </w:tblCellMar>
      </w:tblPr>
      <w:tblGrid>
        <w:gridCol w:w="1130"/>
        <w:gridCol w:w="60"/>
        <w:gridCol w:w="140"/>
        <w:gridCol w:w="845"/>
        <w:gridCol w:w="60"/>
        <w:gridCol w:w="60"/>
        <w:gridCol w:w="60"/>
        <w:gridCol w:w="485"/>
        <w:gridCol w:w="185"/>
        <w:gridCol w:w="60"/>
        <w:gridCol w:w="140"/>
        <w:gridCol w:w="845"/>
        <w:gridCol w:w="60"/>
        <w:gridCol w:w="60"/>
        <w:gridCol w:w="60"/>
        <w:gridCol w:w="485"/>
        <w:gridCol w:w="185"/>
        <w:gridCol w:w="60"/>
        <w:gridCol w:w="140"/>
        <w:gridCol w:w="845"/>
        <w:gridCol w:w="60"/>
        <w:gridCol w:w="60"/>
        <w:gridCol w:w="60"/>
        <w:gridCol w:w="485"/>
        <w:gridCol w:w="200"/>
      </w:tblGrid>
      <w:tr>
        <w:trPr/>
        <w:tc>
          <w:tcPr>
            <w:tcW w:w="113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5440"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Fiscal Year Ended</w:t>
            </w:r>
          </w:p>
        </w:tc>
        <w:tc>
          <w:tcPr>
            <w:tcW w:w="20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6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20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5440" w:type="dxa"/>
            <w:gridSpan w:val="22"/>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 thousands)</w:t>
            </w:r>
          </w:p>
        </w:tc>
        <w:tc>
          <w:tcPr>
            <w:tcW w:w="200" w:type="dxa"/>
            <w:tcBorders/>
            <w:vAlign w:val="bottom"/>
          </w:tcPr>
          <w:p>
            <w:pPr>
              <w:pStyle w:val="TableContents"/>
              <w:bidi w:val="0"/>
              <w:spacing w:before="0" w:after="283"/>
              <w:jc w:val="left"/>
              <w:rPr/>
            </w:pPr>
            <w:r>
              <w:rPr/>
              <w:t> </w:t>
            </w:r>
          </w:p>
        </w:tc>
      </w:tr>
      <w:tr>
        <w:trPr/>
        <w:tc>
          <w:tcPr>
            <w:tcW w:w="11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Consumables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499,411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395,542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347,432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Home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751,138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35.7</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696,689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39.8</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Seasonal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393,563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325,148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458,550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406,968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391,761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30" w:type="dxa"/>
            <w:tcBorders/>
            <w:shd w:fill="CCEEFF" w:val="clear"/>
            <w:vAlign w:val="bottom"/>
          </w:tcPr>
          <w:p>
            <w:pPr>
              <w:pStyle w:val="TableContents"/>
              <w:bidi w:val="0"/>
              <w:spacing w:before="0" w:after="0"/>
              <w:ind w:left="180" w:right="0" w:hanging="0"/>
              <w:jc w:val="left"/>
              <w:rPr>
                <w:rFonts w:ascii="Times New Roman" w:hAnsi="Times New Roman"/>
                <w:b/>
                <w:color w:val="000000"/>
                <w:sz w:val="20"/>
              </w:rPr>
            </w:pPr>
            <w:r>
              <w:rPr>
                <w:rFonts w:ascii="Times New Roman" w:hAnsi="Times New Roman"/>
                <w:b/>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2,102,662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1,827,009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1,752,995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ind w:left="600" w:right="0" w:hanging="0"/>
        <w:jc w:val="left"/>
        <w:rPr>
          <w:rFonts w:ascii="Times New Roman" w:hAnsi="Times New Roman"/>
        </w:rPr>
      </w:pPr>
      <w:r>
        <w:rPr>
          <w:rFonts w:ascii="Times New Roman" w:hAnsi="Times New Roman"/>
        </w:rPr>
      </w:r>
    </w:p>
    <w:tbl>
      <w:tblPr>
        <w:tblW w:w="4450" w:type="dxa"/>
        <w:jc w:val="left"/>
        <w:tblInd w:w="0" w:type="dxa"/>
        <w:tblLayout w:type="fixed"/>
        <w:tblCellMar>
          <w:top w:w="0" w:type="dxa"/>
          <w:left w:w="0" w:type="dxa"/>
          <w:bottom w:w="0" w:type="dxa"/>
          <w:right w:w="0" w:type="dxa"/>
        </w:tblCellMar>
      </w:tblPr>
      <w:tblGrid>
        <w:gridCol w:w="365"/>
        <w:gridCol w:w="4085"/>
      </w:tblGrid>
      <w:tr>
        <w:trPr/>
        <w:tc>
          <w:tcPr>
            <w:tcW w:w="3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(13)</w:t>
            </w:r>
          </w:p>
        </w:tc>
        <w:tc>
          <w:tcPr>
            <w:tcW w:w="40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Transactions with Affiliated and Related Parties</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7" w:right="0" w:hanging="0"/>
        <w:jc w:val="both"/>
        <w:rPr>
          <w:rFonts w:ascii="Times New Roman" w:hAnsi="Times New Roman"/>
          <w:color w:val="000000"/>
          <w:sz w:val="20"/>
          <w:shd w:fill="FFFFFF" w:val="clear"/>
        </w:rPr>
      </w:pPr>
      <w:r>
        <w:rPr>
          <w:rFonts w:ascii="Times New Roman" w:hAnsi="Times New Roman"/>
          <w:color w:val="000000"/>
          <w:sz w:val="20"/>
          <w:shd w:fill="FFFFFF" w:val="clear"/>
        </w:rPr>
        <w:t>During fiscal year 2023, the Company purchased excess inventory of $1.5 million from a subsidiary of Hillman Solutions, Inc. where John Swygert, President and Chief Executive Officer of Ollie’s, is a member of its Board of Directors. There were purchases of $0.8 million made from a subsidiary of Hillman Solutions, Inc. in fiscal year 2022.</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7" w:name="FinancialInformationofReg"/>
      <w:bookmarkStart w:id="38" w:name="ScheduleI"/>
      <w:bookmarkEnd w:id="37"/>
      <w:bookmarkEnd w:id="38"/>
      <w:r>
        <w:rPr>
          <w:rFonts w:ascii="Times New Roman" w:hAnsi="Times New Roman"/>
          <w:b/>
          <w:color w:val="000000"/>
          <w:sz w:val="20"/>
          <w:shd w:fill="FFFFFF" w:val="clear"/>
        </w:rPr>
        <w:t>Schedule I - Condensed Financial Information of Registrant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(parent company only)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Condensed Balance Sheets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rFonts w:ascii="Times New Roman" w:hAnsi="Times New Roman"/>
        </w:rPr>
      </w:pPr>
      <w:r>
        <w:rPr>
          <w:rFonts w:ascii="Times New Roman" w:hAnsi="Times New Roman"/>
        </w:rPr>
      </w:r>
    </w:p>
    <w:tbl>
      <w:tblPr>
        <w:tblW w:w="5708" w:type="dxa"/>
        <w:jc w:val="left"/>
        <w:tblInd w:w="600" w:type="dxa"/>
        <w:tblLayout w:type="fixed"/>
        <w:tblCellMar>
          <w:top w:w="0" w:type="dxa"/>
          <w:left w:w="0" w:type="dxa"/>
          <w:bottom w:w="0" w:type="dxa"/>
          <w:right w:w="0" w:type="dxa"/>
        </w:tblCellMar>
      </w:tblPr>
      <w:tblGrid>
        <w:gridCol w:w="3350"/>
        <w:gridCol w:w="60"/>
        <w:gridCol w:w="132"/>
        <w:gridCol w:w="892"/>
        <w:gridCol w:w="80"/>
        <w:gridCol w:w="60"/>
        <w:gridCol w:w="134"/>
        <w:gridCol w:w="905"/>
        <w:gridCol w:w="95"/>
      </w:tblGrid>
      <w:tr>
        <w:trPr/>
        <w:tc>
          <w:tcPr>
            <w:tcW w:w="335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28,</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144" w:right="0" w:hanging="144"/>
              <w:jc w:val="center"/>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current assets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Long-term assets: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Investment in subsidiaries</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1,508,232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1,362,069</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432" w:right="0" w:hanging="144"/>
              <w:jc w:val="left"/>
              <w:rPr>
                <w:rFonts w:ascii="Times New Roman" w:hAnsi="Times New Roman"/>
                <w:sz w:val="20"/>
              </w:rPr>
            </w:pPr>
            <w:r>
              <w:rPr>
                <w:rFonts w:ascii="Times New Roman" w:hAnsi="Times New Roman"/>
                <w:sz w:val="20"/>
              </w:rPr>
              <w:t>Total assets</w:t>
            </w:r>
          </w:p>
        </w:tc>
        <w:tc>
          <w:tcPr>
            <w:tcW w:w="60" w:type="dxa"/>
            <w:tcBorders/>
            <w:vAlign w:val="bottom"/>
          </w:tcPr>
          <w:p>
            <w:pPr>
              <w:pStyle w:val="TableContents"/>
              <w:bidi w:val="0"/>
              <w:spacing w:before="0" w:after="283"/>
              <w:jc w:val="left"/>
              <w:rPr/>
            </w:pPr>
            <w:r>
              <w:rPr/>
              <w:t> </w:t>
            </w:r>
          </w:p>
        </w:tc>
        <w:tc>
          <w:tcPr>
            <w:tcW w:w="13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1,508,232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1,362,069</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144" w:right="0" w:hanging="144"/>
              <w:jc w:val="center"/>
              <w:rPr>
                <w:rFonts w:ascii="Times New Roman" w:hAnsi="Times New Roman"/>
                <w:b/>
                <w:sz w:val="20"/>
              </w:rPr>
            </w:pPr>
            <w:r>
              <w:rPr>
                <w:rFonts w:ascii="Times New Roman" w:hAnsi="Times New Roman"/>
                <w:b/>
                <w:sz w:val="20"/>
              </w:rPr>
              <w:t>Liabilities and stockholders’ equity</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long-term liabilities</w:t>
            </w:r>
          </w:p>
        </w:tc>
        <w:tc>
          <w:tcPr>
            <w:tcW w:w="60" w:type="dxa"/>
            <w:tcBorders/>
            <w:vAlign w:val="bottom"/>
          </w:tcPr>
          <w:p>
            <w:pPr>
              <w:pStyle w:val="TableContents"/>
              <w:bidi w:val="0"/>
              <w:spacing w:before="0" w:after="283"/>
              <w:jc w:val="lef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Stockholders’ equity:</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Common stock</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Additional paid-in capital</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694,959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677,694</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Retained earnings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1,167,951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986,512</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Treasury stock, at cost</w:t>
            </w:r>
          </w:p>
        </w:tc>
        <w:tc>
          <w:tcPr>
            <w:tcW w:w="60" w:type="dxa"/>
            <w:tcBorders/>
            <w:vAlign w:val="bottom"/>
          </w:tcPr>
          <w:p>
            <w:pPr>
              <w:pStyle w:val="TableContents"/>
              <w:bidi w:val="0"/>
              <w:spacing w:before="0" w:after="283"/>
              <w:jc w:val="lef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(354,745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(302,204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50" w:type="dxa"/>
            <w:tcBorders/>
            <w:shd w:fill="CCEEFF" w:val="clear"/>
            <w:vAlign w:val="bottom"/>
          </w:tcPr>
          <w:p>
            <w:pPr>
              <w:pStyle w:val="TableContents"/>
              <w:bidi w:val="0"/>
              <w:spacing w:before="0" w:after="0"/>
              <w:ind w:left="432" w:right="0" w:hanging="144"/>
              <w:jc w:val="left"/>
              <w:rPr>
                <w:rFonts w:ascii="Times New Roman" w:hAnsi="Times New Roman"/>
                <w:sz w:val="20"/>
              </w:rPr>
            </w:pPr>
            <w:r>
              <w:rPr>
                <w:rFonts w:ascii="Times New Roman" w:hAnsi="Times New Roman"/>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1,508,232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1,362,069</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432" w:right="0" w:hanging="144"/>
              <w:jc w:val="left"/>
              <w:rPr>
                <w:rFonts w:ascii="Times New Roman" w:hAnsi="Times New Roman"/>
                <w:sz w:val="20"/>
              </w:rPr>
            </w:pPr>
            <w:r>
              <w:rPr>
                <w:rFonts w:ascii="Times New Roman" w:hAnsi="Times New Roman"/>
                <w:sz w:val="20"/>
              </w:rPr>
              <w:t>Total liabilities and stockholders’ equity</w:t>
            </w:r>
          </w:p>
        </w:tc>
        <w:tc>
          <w:tcPr>
            <w:tcW w:w="60" w:type="dxa"/>
            <w:tcBorders/>
            <w:vAlign w:val="bottom"/>
          </w:tcPr>
          <w:p>
            <w:pPr>
              <w:pStyle w:val="TableContents"/>
              <w:bidi w:val="0"/>
              <w:spacing w:before="0" w:after="283"/>
              <w:jc w:val="left"/>
              <w:rPr/>
            </w:pPr>
            <w:r>
              <w:rPr/>
              <w:t> </w:t>
            </w:r>
          </w:p>
        </w:tc>
        <w:tc>
          <w:tcPr>
            <w:tcW w:w="13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1,508,232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1,362,069</w:t>
            </w:r>
          </w:p>
        </w:tc>
        <w:tc>
          <w:tcPr>
            <w:tcW w:w="95" w:type="dxa"/>
            <w:tcBorders/>
            <w:vAlign w:val="bottom"/>
          </w:tcPr>
          <w:p>
            <w:pPr>
              <w:pStyle w:val="TableContents"/>
              <w:bidi w:val="0"/>
              <w:spacing w:before="0" w:after="283"/>
              <w:jc w:val="left"/>
              <w:rPr/>
            </w:pPr>
            <w:r>
              <w:rPr/>
              <w:t> </w:t>
            </w:r>
          </w:p>
        </w:tc>
      </w:tr>
    </w:tbl>
    <w:p>
      <w:pPr>
        <w:pStyle w:val="TextBody"/>
        <w:bidi w:val="0"/>
        <w:spacing w:before="0" w:after="0"/>
        <w:ind w:left="600" w:right="0" w:hanging="0"/>
        <w:jc w:val="left"/>
        <w:rPr>
          <w:rFonts w:ascii="Times New Roman" w:hAnsi="Times New Roman"/>
        </w:rPr>
      </w:pPr>
      <w:r>
        <w:rPr>
          <w:rFonts w:ascii="Times New Roman" w:hAnsi="Times New Roman"/>
        </w:rPr>
      </w:r>
    </w:p>
    <w:p>
      <w:pPr>
        <w:pStyle w:val="TextBody"/>
        <w:bidi w:val="0"/>
        <w:spacing w:before="0" w:after="0"/>
        <w:ind w:left="540" w:right="0" w:hanging="0"/>
        <w:jc w:val="left"/>
        <w:rPr>
          <w:rFonts w:ascii="Times New Roman" w:hAnsi="Times New Roman"/>
          <w:color w:val="000000"/>
          <w:sz w:val="20"/>
          <w:shd w:fill="FFFFFF" w:val="clear"/>
        </w:rPr>
      </w:pPr>
      <w:r>
        <w:rPr>
          <w:rFonts w:ascii="Times New Roman" w:hAnsi="Times New Roman"/>
          <w:color w:val="000000"/>
          <w:sz w:val="20"/>
          <w:shd w:fill="FFFFFF" w:val="clear"/>
        </w:rPr>
        <w:t xml:space="preserve">See accompanying Notes </w:t>
      </w:r>
      <w:r>
        <w:rPr>
          <w:rFonts w:ascii="Times New Roman" w:hAnsi="Times New Roman"/>
          <w:b w:val="false"/>
          <w:i w:val="false"/>
          <w:caps w:val="false"/>
          <w:smallCaps w:val="false"/>
          <w:color w:val="000000"/>
          <w:spacing w:val="0"/>
          <w:sz w:val="20"/>
          <w:shd w:fill="FFFFFF" w:val="clear"/>
        </w:rPr>
        <w:t>to Condensed Financial Statements.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Schedule I - Condensed Financial Information of Registrant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(parent company only)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Condensed Statements of Income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rFonts w:ascii="Times New Roman" w:hAnsi="Times New Roman"/>
        </w:rPr>
      </w:pPr>
      <w:r>
        <w:rPr>
          <w:rFonts w:ascii="Times New Roman" w:hAnsi="Times New Roman"/>
        </w:rPr>
      </w:r>
    </w:p>
    <w:tbl>
      <w:tblPr>
        <w:tblW w:w="9062" w:type="dxa"/>
        <w:jc w:val="left"/>
        <w:tblInd w:w="600" w:type="dxa"/>
        <w:tblLayout w:type="fixed"/>
        <w:tblCellMar>
          <w:top w:w="0" w:type="dxa"/>
          <w:left w:w="0" w:type="dxa"/>
          <w:bottom w:w="0" w:type="dxa"/>
          <w:right w:w="0" w:type="dxa"/>
        </w:tblCellMar>
      </w:tblPr>
      <w:tblGrid>
        <w:gridCol w:w="5585"/>
        <w:gridCol w:w="60"/>
        <w:gridCol w:w="155"/>
        <w:gridCol w:w="869"/>
        <w:gridCol w:w="60"/>
        <w:gridCol w:w="60"/>
        <w:gridCol w:w="158"/>
        <w:gridCol w:w="881"/>
        <w:gridCol w:w="60"/>
        <w:gridCol w:w="60"/>
        <w:gridCol w:w="158"/>
        <w:gridCol w:w="881"/>
        <w:gridCol w:w="75"/>
      </w:tblGrid>
      <w:tr>
        <w:trPr/>
        <w:tc>
          <w:tcPr>
            <w:tcW w:w="558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342"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Fiscal year ended</w:t>
            </w:r>
          </w:p>
        </w:tc>
        <w:tc>
          <w:tcPr>
            <w:tcW w:w="75" w:type="dxa"/>
            <w:tcBorders/>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February 3,</w:t>
            </w:r>
          </w:p>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28,</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January 29,</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Gross profit</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Depreciation and amortization expenses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Pre-opening expenses</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Operating income</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Interest expense, net</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Income before income taxes and equity in net income of subsidiaries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Income before equity in net income of subsidiaries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 of subsidiaries</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181,439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102,790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157,455</w:t>
            </w:r>
          </w:p>
        </w:tc>
        <w:tc>
          <w:tcPr>
            <w:tcW w:w="7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181,439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157,455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600" w:right="0" w:hanging="0"/>
        <w:jc w:val="left"/>
        <w:rPr>
          <w:rFonts w:ascii="Times New Roman" w:hAnsi="Times New Roman"/>
        </w:rPr>
      </w:pPr>
      <w:r>
        <w:rPr>
          <w:rFonts w:ascii="Times New Roman" w:hAnsi="Times New Roman"/>
        </w:rPr>
      </w:r>
    </w:p>
    <w:p>
      <w:pPr>
        <w:pStyle w:val="TextBody"/>
        <w:bidi w:val="0"/>
        <w:spacing w:before="0" w:after="0"/>
        <w:ind w:left="540" w:right="0" w:hanging="135"/>
        <w:jc w:val="left"/>
        <w:rPr>
          <w:rFonts w:ascii="Times New Roman" w:hAnsi="Times New Roman"/>
          <w:color w:val="000000"/>
          <w:sz w:val="20"/>
          <w:shd w:fill="FFFFFF" w:val="clear"/>
        </w:rPr>
      </w:pPr>
      <w:r>
        <w:rPr>
          <w:rFonts w:ascii="Times New Roman" w:hAnsi="Times New Roman"/>
          <w:color w:val="000000"/>
          <w:sz w:val="20"/>
          <w:shd w:fill="FFFFFF" w:val="clear"/>
        </w:rPr>
        <w:t xml:space="preserve">See accompanying Notes </w:t>
      </w:r>
      <w:r>
        <w:rPr>
          <w:rFonts w:ascii="Times New Roman" w:hAnsi="Times New Roman"/>
          <w:b w:val="false"/>
          <w:i w:val="false"/>
          <w:caps w:val="false"/>
          <w:smallCaps w:val="false"/>
          <w:color w:val="000000"/>
          <w:spacing w:val="0"/>
          <w:sz w:val="20"/>
          <w:shd w:fill="FFFFFF" w:val="clear"/>
        </w:rPr>
        <w:t>to Condensed Financial Statements</w:t>
      </w:r>
      <w:r>
        <w:rPr>
          <w:rFonts w:ascii="Times New Roman" w:hAnsi="Times New Roman"/>
          <w:color w:val="000000"/>
          <w:sz w:val="20"/>
          <w:shd w:fill="FFFFFF" w:val="clear"/>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Schedule I - Condensed Financial Information of Registrant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Ollie’s Bargain Outlet Holdings, Inc. (parent company only)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Condensed Financial Statements</w:t>
      </w:r>
    </w:p>
    <w:p>
      <w:pPr>
        <w:pStyle w:val="TextBody"/>
        <w:bidi w:val="0"/>
        <w:spacing w:before="0" w:after="0"/>
        <w:jc w:val="left"/>
        <w:rPr>
          <w:rFonts w:ascii="Times New Roman" w:hAnsi="Times New Roman"/>
        </w:rPr>
      </w:pPr>
      <w:r>
        <w:rPr>
          <w:rFonts w:ascii="Times New Roman" w:hAnsi="Times New Roman"/>
        </w:rPr>
      </w:r>
    </w:p>
    <w:tbl>
      <w:tblPr>
        <w:tblW w:w="1975" w:type="dxa"/>
        <w:jc w:val="left"/>
        <w:tblInd w:w="0" w:type="dxa"/>
        <w:tblLayout w:type="fixed"/>
        <w:tblCellMar>
          <w:top w:w="0" w:type="dxa"/>
          <w:left w:w="0" w:type="dxa"/>
          <w:bottom w:w="0" w:type="dxa"/>
          <w:right w:w="0" w:type="dxa"/>
        </w:tblCellMar>
      </w:tblPr>
      <w:tblGrid>
        <w:gridCol w:w="185"/>
        <w:gridCol w:w="1790"/>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17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Basis of presentation</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the parent-company-only condensed financial statements, Ollie’s Bargain Outlet Holdings, Inc.’s (the “Company”) investment in subsidiaries is stated at cost plus equity in undistributed earnings of subsidiaries since the date of acquisition. The parent-company-only condensed financial statements should be read in conjunction with the Company’s consolidated financial statements. A condensed statement of cash flows was not presented because Ollie’s Bargain Outlet Holdings, Inc. had no cash flow activities during 2023, 2022 or 2021.</w:t>
      </w:r>
    </w:p>
    <w:p>
      <w:pPr>
        <w:pStyle w:val="TextBody"/>
        <w:bidi w:val="0"/>
        <w:spacing w:before="0" w:after="0"/>
        <w:jc w:val="left"/>
        <w:rPr>
          <w:rFonts w:ascii="Times New Roman" w:hAnsi="Times New Roman"/>
        </w:rPr>
      </w:pPr>
      <w:r>
        <w:rPr>
          <w:rFonts w:ascii="Times New Roman" w:hAnsi="Times New Roman"/>
        </w:rPr>
      </w:r>
    </w:p>
    <w:tbl>
      <w:tblPr>
        <w:tblW w:w="2560" w:type="dxa"/>
        <w:jc w:val="left"/>
        <w:tblInd w:w="0" w:type="dxa"/>
        <w:tblLayout w:type="fixed"/>
        <w:tblCellMar>
          <w:top w:w="0" w:type="dxa"/>
          <w:left w:w="0" w:type="dxa"/>
          <w:bottom w:w="0" w:type="dxa"/>
          <w:right w:w="0" w:type="dxa"/>
        </w:tblCellMar>
      </w:tblPr>
      <w:tblGrid>
        <w:gridCol w:w="185"/>
        <w:gridCol w:w="237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2.</w:t>
            </w:r>
          </w:p>
        </w:tc>
        <w:tc>
          <w:tcPr>
            <w:tcW w:w="237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Guarantees and restrictions</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On January 9, 2024, Ollie’s Bargain Outlet, Inc., a subsidiary of the Company, completed a transaction in which it refinanced its credit facility (the “Credit Facility”). The Credit Facility provides for a five-year $100.0 million revolving credit facility, which includes a $45.0 million sub-facility for letters of credit and a $25.0 million sub-facility for swingline loans (the “Revolving Credit Facility”).  The loans under the Revolving Credit Facility mature on January 9, 2029.  In addition, Ollie’s Bargain Outlet, Inc. may at any time add term loan facilities or additional revolving commitments up to $150.0 million pursuant to the terms and conditions set out in the Credit Facility.  Under the terms of the Credit Facility, Bargain Parent, Inc., a subsidiary of the Company, guaranteed the payment of all principal and interest. In the event of a default under the Credit Facility, Bargain Parent, Inc. will be directly liable to the debt holders.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February 3, 2024, Ollie’s Bargain Outlet, Inc. had $90.0 million available for borrowing under its Revolving Credit Facility.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Credit Facility is collateralized by the Company’s assets and equity and contains a financial covenant, as well as certain business covenants, including restrictions on dividend payments, which the Company must comply with during the term of the agreement. The Company was in compliance with all terms of the agreement during and as of the fiscal year ended February 3, 2024.</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5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provisions of the Credit Facility restrict all of the net assets of the Company’s consolidated subsidiaries, which constitutes all of the net assets on the Company’s consolidated balance sheet as of February 3, 2024, from being used to pay any dividends or make other restricted payments without prior written consent from the lenders under the Credit Facility, subject to certain exceptions.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Times;serif" w:hAnsi="Times New Roman;Times;serif"/>
            <w:b w:val="false"/>
            <w:i/>
            <w:color w:val="000000"/>
            <w:sz w:val="16"/>
            <w:shd w:fill="FFFFFF" w:val="clear"/>
          </w:rPr>
          <w:t>Index</w:t>
        </w:r>
      </w:hyperlink>
    </w:p>
    <w:p>
      <w:pPr>
        <w:pStyle w:val="Normal"/>
        <w:bidi w:val="0"/>
        <w:spacing w:before="0" w:after="0"/>
        <w:jc w:val="left"/>
        <w:rPr>
          <w:sz w:val="4"/>
          <w:szCs w:val="4"/>
        </w:rPr>
      </w:pPr>
      <w:r>
        <w:rPr>
          <w:sz w:val="4"/>
          <w:szCs w:val="4"/>
        </w:rPr>
      </w:r>
      <w:bookmarkStart w:id="39" w:name="ChangesinandDisagreements"/>
      <w:bookmarkStart w:id="40" w:name="ChangesinandDisagreements"/>
      <w:bookmarkEnd w:id="40"/>
    </w:p>
    <w:tbl>
      <w:tblPr>
        <w:tblW w:w="9670" w:type="dxa"/>
        <w:jc w:val="left"/>
        <w:tblInd w:w="0" w:type="dxa"/>
        <w:tblLayout w:type="fixed"/>
        <w:tblCellMar>
          <w:top w:w="0" w:type="dxa"/>
          <w:left w:w="0" w:type="dxa"/>
          <w:bottom w:w="0" w:type="dxa"/>
          <w:right w:w="0" w:type="dxa"/>
        </w:tblCellMar>
      </w:tblPr>
      <w:tblGrid>
        <w:gridCol w:w="740"/>
        <w:gridCol w:w="8930"/>
      </w:tblGrid>
      <w:tr>
        <w:trPr/>
        <w:tc>
          <w:tcPr>
            <w:tcW w:w="740" w:type="dxa"/>
            <w:tcBorders/>
            <w:vAlign w:val="center"/>
          </w:tcPr>
          <w:p>
            <w:pPr>
              <w:pStyle w:val="TableContents"/>
              <w:bidi w:val="0"/>
              <w:spacing w:before="0" w:after="283"/>
              <w:jc w:val="left"/>
              <w:rPr>
                <w:b/>
              </w:rPr>
            </w:pPr>
            <w:r>
              <w:rPr>
                <w:b/>
              </w:rPr>
              <w:t>Item 9.</w:t>
            </w:r>
          </w:p>
        </w:tc>
        <w:tc>
          <w:tcPr>
            <w:tcW w:w="8930" w:type="dxa"/>
            <w:tcBorders/>
            <w:vAlign w:val="center"/>
          </w:tcPr>
          <w:p>
            <w:pPr>
              <w:pStyle w:val="TableContents"/>
              <w:bidi w:val="0"/>
              <w:spacing w:before="0" w:after="0"/>
              <w:jc w:val="both"/>
              <w:rPr>
                <w:b/>
                <w:i/>
              </w:rPr>
            </w:pPr>
            <w:r>
              <w:rPr>
                <w:b/>
                <w:i/>
              </w:rPr>
              <w:t>Changes in and Disagreements with Accountants on Accounting and Financial Disclosure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 w:name="ControlsandProcedures"/>
      <w:bookmarkStart w:id="42" w:name="ControlsandProcedures"/>
      <w:bookmarkEnd w:id="42"/>
    </w:p>
    <w:tbl>
      <w:tblPr>
        <w:tblW w:w="3400" w:type="dxa"/>
        <w:jc w:val="left"/>
        <w:tblInd w:w="0" w:type="dxa"/>
        <w:tblLayout w:type="fixed"/>
        <w:tblCellMar>
          <w:top w:w="0" w:type="dxa"/>
          <w:left w:w="0" w:type="dxa"/>
          <w:bottom w:w="0" w:type="dxa"/>
          <w:right w:w="0" w:type="dxa"/>
        </w:tblCellMar>
      </w:tblPr>
      <w:tblGrid>
        <w:gridCol w:w="920"/>
        <w:gridCol w:w="2480"/>
      </w:tblGrid>
      <w:tr>
        <w:trPr/>
        <w:tc>
          <w:tcPr>
            <w:tcW w:w="920" w:type="dxa"/>
            <w:tcBorders/>
            <w:vAlign w:val="center"/>
          </w:tcPr>
          <w:p>
            <w:pPr>
              <w:pStyle w:val="TableContents"/>
              <w:bidi w:val="0"/>
              <w:spacing w:before="0" w:after="283"/>
              <w:jc w:val="left"/>
              <w:rPr>
                <w:b/>
              </w:rPr>
            </w:pPr>
            <w:r>
              <w:rPr>
                <w:b/>
              </w:rPr>
              <w:t>Item 9A.</w:t>
            </w:r>
          </w:p>
        </w:tc>
        <w:tc>
          <w:tcPr>
            <w:tcW w:w="2480" w:type="dxa"/>
            <w:tcBorders/>
            <w:vAlign w:val="center"/>
          </w:tcPr>
          <w:p>
            <w:pPr>
              <w:pStyle w:val="TableContents"/>
              <w:bidi w:val="0"/>
              <w:spacing w:before="0" w:after="0"/>
              <w:jc w:val="both"/>
              <w:rPr>
                <w:b/>
                <w:i/>
              </w:rPr>
            </w:pPr>
            <w:r>
              <w:rPr>
                <w:b/>
                <w:i/>
              </w:rPr>
              <w:t>Controls and Procedures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200" w:right="0" w:hanging="20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in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changes in the Company’s internal controls over financial reporting that occurred during the quarterly period ended February 3, 2024 that have materially affected, or are reasonably likely to materially affect, its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200" w:right="0" w:hanging="200"/>
        <w:jc w:val="both"/>
        <w:rPr>
          <w:rFonts w:ascii="Times New Roman" w:hAnsi="Times New Roman"/>
          <w:b/>
          <w:i/>
          <w:color w:val="000000"/>
          <w:sz w:val="20"/>
          <w:shd w:fill="FFFFFF" w:val="clear"/>
        </w:rPr>
      </w:pPr>
      <w:r>
        <w:rPr>
          <w:rFonts w:ascii="Times New Roman" w:hAnsi="Times New Roman"/>
          <w:b/>
          <w:i/>
          <w:color w:val="000000"/>
          <w:sz w:val="20"/>
          <w:shd w:fill="FFFFFF" w:val="clear"/>
        </w:rPr>
        <w:t>Evaluation of Disclosure Controls and Procedures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maintains a system of disclosure controls and procedures (as defined in Rules 13a-15(e) and 15d-15(e) under the Security Exchange Act of 1934, as amended (the “Exchange Act”)) designed to ensure that the information required to be disclosed by the Company in the reports that it files or submits under the Exchange Act is recorded, processed, summarized and reported within the time periods specified in the rules and forms of the Securities and Exchange Commission (“SEC”), and is accumulated and communicated to the Company’s management, including its Chief Executive Officer (principal executive officer) and its Chief Financial Officer (principal financial and accounting officer), as appropriate, to allow timely decisions regarding required disclosure.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management, with the participation of its Chief Executive Officer and Chief Financial Officer, has evaluated the effectiveness of the Company’s disclosure controls and procedures under the Exchange Act as of February 3, 2024, the end of the period covered by this Annual Report on Form 10-K. Based on that evaluation, the Company’s Chief Executive Officer and Chief Financial Officer concluded that, as of February 3, 2024, the Company’s disclosure controls and procedures are effective.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200" w:right="0" w:hanging="200"/>
        <w:jc w:val="both"/>
        <w:rPr>
          <w:rFonts w:ascii="Times New Roman" w:hAnsi="Times New Roman"/>
          <w:b/>
          <w:i/>
          <w:color w:val="000000"/>
          <w:sz w:val="20"/>
          <w:shd w:fill="FFFFFF" w:val="clear"/>
        </w:rPr>
      </w:pPr>
      <w:r>
        <w:rPr>
          <w:rFonts w:ascii="Times New Roman" w:hAnsi="Times New Roman"/>
          <w:b/>
          <w:i/>
          <w:color w:val="000000"/>
          <w:sz w:val="20"/>
          <w:shd w:fill="FFFFFF" w:val="clear"/>
        </w:rPr>
        <w:t>Management’s Annual Report on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Management, including the Chief Executive Officer and Chief Financial Officer, assessed the effectiveness of internal control over financial reporting as of February 3, 2024.  Management based this assessment on criteria for effective internal control over financial reporting described in </w:t>
      </w:r>
      <w:r>
        <w:rPr>
          <w:rFonts w:ascii="Times New Roman" w:hAnsi="Times New Roman"/>
          <w:i/>
          <w:color w:val="000000"/>
          <w:sz w:val="20"/>
          <w:shd w:fill="FFFFFF" w:val="clear"/>
        </w:rPr>
        <w:t>Internal Control - Integrated Framework (2013)</w:t>
      </w:r>
      <w:r>
        <w:rPr>
          <w:rFonts w:ascii="Times New Roman" w:hAnsi="Times New Roman"/>
          <w:color w:val="000000"/>
          <w:sz w:val="20"/>
          <w:shd w:fill="FFFFFF" w:val="clear"/>
        </w:rPr>
        <w:t xml:space="preserve"> issued by the Committee of Sponsoring Organizations of the Treadway Commission (COSO). Based on this assessment, management determined that, as of February 3, 2024, the Company maintained effective internal control over financial reporting at a reasonable assurance level.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effectiveness of the Company’s internal control over financial reporting as of February 3, 2024 has been audited by KPMG LLP, our independent registered public accounting firm, as stated in their report dated March 27, 2024 that appears below.</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Report of Independent Registered Public Accounting Firm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the Stockholders and Board of Directors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Ollie’s Bargain Outlet Holdings, Inc.:</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Opinion on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have audited Ollie’s Bargain Outlet Holdings, Inc. and subsidiaries’ (the Company) internal control over financial reporting as of February 3, 2024, based on criteria established </w:t>
      </w:r>
      <w:r>
        <w:rPr>
          <w:rFonts w:ascii="Times New Roman" w:hAnsi="Times New Roman"/>
          <w:i/>
          <w:color w:val="000000"/>
          <w:sz w:val="20"/>
          <w:shd w:fill="FFFFFF" w:val="clear"/>
        </w:rPr>
        <w:t>in Internal Control – Integrated Framework (2013)</w:t>
      </w:r>
      <w:r>
        <w:rPr>
          <w:rFonts w:ascii="Times New Roman" w:hAnsi="Times New Roman"/>
          <w:color w:val="000000"/>
          <w:sz w:val="20"/>
          <w:shd w:fill="FFFFFF" w:val="clear"/>
        </w:rPr>
        <w:t xml:space="preserve"> issued by the Committee of Sponsoring Organizations of the Treadway Commission. In our opinion, the Company maintained, in all material respects, effective internal control over financial reporting as of February 3, 2024, based on criteria established in </w:t>
      </w:r>
      <w:r>
        <w:rPr>
          <w:rFonts w:ascii="Times New Roman" w:hAnsi="Times New Roman"/>
          <w:i/>
          <w:color w:val="000000"/>
          <w:sz w:val="20"/>
          <w:shd w:fill="FFFFFF" w:val="clear"/>
        </w:rPr>
        <w:t>Internal Control – Integrated Framework (2013)</w:t>
      </w:r>
      <w:r>
        <w:rPr>
          <w:rFonts w:ascii="Times New Roman" w:hAnsi="Times New Roman"/>
          <w:color w:val="000000"/>
          <w:sz w:val="20"/>
          <w:shd w:fill="FFFFFF" w:val="clear"/>
        </w:rPr>
        <w:t xml:space="preserve"> issued by the Committee of Sponsoring Organizations of the Treadway Commission.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have audited, in accordance with the standards of the Public Company Accounting Oversight Board (United States) (PCAOB), the consolidated balance sheets of the Company as of February 3, 2024 and January 28, 2023, the related consolidated statements of income, stockholders’ equity, and cash flows for each of the fiscal years in the three-year period ended February 3, 2024, and the related notes and financial statement schedule I - condensed financial information of registrant (collectively, the consolidated financial statements), and our report dated March 27, 2024 expressed an unqualified opinion on those consolidated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Basis for Opinion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Definition and Limitations of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 KPMG LLP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Harrisburg, Pennsylvania</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March 27,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Normal"/>
        <w:bidi w:val="0"/>
        <w:spacing w:before="0" w:after="0"/>
        <w:jc w:val="left"/>
        <w:rPr>
          <w:sz w:val="4"/>
          <w:szCs w:val="4"/>
        </w:rPr>
      </w:pPr>
      <w:r>
        <w:rPr>
          <w:sz w:val="4"/>
          <w:szCs w:val="4"/>
        </w:rPr>
      </w:r>
      <w:bookmarkStart w:id="43" w:name="OtherInformation"/>
      <w:bookmarkStart w:id="44" w:name="OtherInformation"/>
      <w:bookmarkEnd w:id="44"/>
    </w:p>
    <w:tbl>
      <w:tblPr>
        <w:tblW w:w="2755" w:type="dxa"/>
        <w:jc w:val="left"/>
        <w:tblInd w:w="0" w:type="dxa"/>
        <w:tblLayout w:type="fixed"/>
        <w:tblCellMar>
          <w:top w:w="0" w:type="dxa"/>
          <w:left w:w="0" w:type="dxa"/>
          <w:bottom w:w="0" w:type="dxa"/>
          <w:right w:w="0" w:type="dxa"/>
        </w:tblCellMar>
      </w:tblPr>
      <w:tblGrid>
        <w:gridCol w:w="905"/>
        <w:gridCol w:w="1850"/>
      </w:tblGrid>
      <w:tr>
        <w:trPr/>
        <w:tc>
          <w:tcPr>
            <w:tcW w:w="905" w:type="dxa"/>
            <w:tcBorders/>
            <w:vAlign w:val="center"/>
          </w:tcPr>
          <w:p>
            <w:pPr>
              <w:pStyle w:val="TableContents"/>
              <w:bidi w:val="0"/>
              <w:spacing w:before="0" w:after="283"/>
              <w:jc w:val="left"/>
              <w:rPr>
                <w:b/>
              </w:rPr>
            </w:pPr>
            <w:r>
              <w:rPr>
                <w:b/>
              </w:rPr>
              <w:t>Item 9B.</w:t>
            </w:r>
          </w:p>
        </w:tc>
        <w:tc>
          <w:tcPr>
            <w:tcW w:w="1850" w:type="dxa"/>
            <w:tcBorders/>
            <w:vAlign w:val="center"/>
          </w:tcPr>
          <w:p>
            <w:pPr>
              <w:pStyle w:val="TableContents"/>
              <w:bidi w:val="0"/>
              <w:spacing w:before="0" w:after="0"/>
              <w:jc w:val="both"/>
              <w:rPr>
                <w:b/>
                <w:i/>
              </w:rPr>
            </w:pPr>
            <w:r>
              <w:rPr>
                <w:b/>
                <w:i/>
              </w:rPr>
              <w:t>Other Information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Trading Arrangements of Directors and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quarter ended February 3, 2024, no director or officer of the Company entered into, modified, or terminated a “Rule 10b5-1(c) trading arrangement” or “non-Rule 10b5-1 trading arrangement,” as each term is defined in item 408(a) of Regulation S-K.</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 w:name="DisclosureRegardingForeig"/>
      <w:bookmarkStart w:id="46" w:name="DisclosureRegardingForeig"/>
      <w:bookmarkEnd w:id="46"/>
    </w:p>
    <w:tbl>
      <w:tblPr>
        <w:tblW w:w="7660" w:type="dxa"/>
        <w:jc w:val="left"/>
        <w:tblInd w:w="0" w:type="dxa"/>
        <w:tblLayout w:type="fixed"/>
        <w:tblCellMar>
          <w:top w:w="0" w:type="dxa"/>
          <w:left w:w="0" w:type="dxa"/>
          <w:bottom w:w="0" w:type="dxa"/>
          <w:right w:w="0" w:type="dxa"/>
        </w:tblCellMar>
      </w:tblPr>
      <w:tblGrid>
        <w:gridCol w:w="920"/>
        <w:gridCol w:w="6740"/>
      </w:tblGrid>
      <w:tr>
        <w:trPr/>
        <w:tc>
          <w:tcPr>
            <w:tcW w:w="920" w:type="dxa"/>
            <w:tcBorders/>
            <w:vAlign w:val="center"/>
          </w:tcPr>
          <w:p>
            <w:pPr>
              <w:pStyle w:val="TableContents"/>
              <w:bidi w:val="0"/>
              <w:spacing w:before="0" w:after="283"/>
              <w:jc w:val="left"/>
              <w:rPr>
                <w:b/>
              </w:rPr>
            </w:pPr>
            <w:r>
              <w:rPr>
                <w:b/>
              </w:rPr>
              <w:t>Item 9C.</w:t>
            </w:r>
          </w:p>
        </w:tc>
        <w:tc>
          <w:tcPr>
            <w:tcW w:w="6740" w:type="dxa"/>
            <w:tcBorders/>
            <w:vAlign w:val="center"/>
          </w:tcPr>
          <w:p>
            <w:pPr>
              <w:pStyle w:val="TableContents"/>
              <w:bidi w:val="0"/>
              <w:spacing w:before="0" w:after="0"/>
              <w:jc w:val="both"/>
              <w:rPr>
                <w:b/>
                <w:i/>
              </w:rPr>
            </w:pPr>
            <w:r>
              <w:rPr>
                <w:b/>
                <w:i/>
              </w:rPr>
              <w:t>Disclosure Regarding Foreign Jurisdictions that Prevent Inspections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III</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 w:name="DirectorsExecutiveOfficer"/>
      <w:bookmarkStart w:id="48" w:name="DirectorsExecutiveOfficer"/>
      <w:bookmarkEnd w:id="48"/>
    </w:p>
    <w:tbl>
      <w:tblPr>
        <w:tblW w:w="6460" w:type="dxa"/>
        <w:jc w:val="left"/>
        <w:tblInd w:w="0" w:type="dxa"/>
        <w:tblLayout w:type="fixed"/>
        <w:tblCellMar>
          <w:top w:w="0" w:type="dxa"/>
          <w:left w:w="0" w:type="dxa"/>
          <w:bottom w:w="0" w:type="dxa"/>
          <w:right w:w="0" w:type="dxa"/>
        </w:tblCellMar>
      </w:tblPr>
      <w:tblGrid>
        <w:gridCol w:w="860"/>
        <w:gridCol w:w="5600"/>
      </w:tblGrid>
      <w:tr>
        <w:trPr/>
        <w:tc>
          <w:tcPr>
            <w:tcW w:w="860" w:type="dxa"/>
            <w:tcBorders/>
            <w:vAlign w:val="center"/>
          </w:tcPr>
          <w:p>
            <w:pPr>
              <w:pStyle w:val="TableContents"/>
              <w:bidi w:val="0"/>
              <w:spacing w:before="0" w:after="283"/>
              <w:jc w:val="left"/>
              <w:rPr>
                <w:b/>
              </w:rPr>
            </w:pPr>
            <w:r>
              <w:rPr>
                <w:b/>
              </w:rPr>
              <w:t>Item 10.</w:t>
            </w:r>
          </w:p>
        </w:tc>
        <w:tc>
          <w:tcPr>
            <w:tcW w:w="5600" w:type="dxa"/>
            <w:tcBorders/>
            <w:vAlign w:val="center"/>
          </w:tcPr>
          <w:p>
            <w:pPr>
              <w:pStyle w:val="TableContents"/>
              <w:bidi w:val="0"/>
              <w:spacing w:before="0" w:after="0"/>
              <w:jc w:val="both"/>
              <w:rPr>
                <w:b/>
                <w:i/>
              </w:rPr>
            </w:pPr>
            <w:r>
              <w:rPr>
                <w:b/>
                <w:i/>
              </w:rPr>
              <w:t>Directors, Executive Officers and Corporate Governance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will be contained in the Company’s definitive proxy statement in connection with the 2023 Annual Meeting of Stockholders (the “Proxy Statement”), which is expected to be filed with the SEC not later than 120 days after the end of the fiscal year ended February 3, 2024, and 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the Company’s Board of Directors has adopted a Code of Ethical Business Conduct that applies to all of its directors, employees and officers, including the Chief Executive Officer and Chief Financial Officer. The current version of the Code of Ethical Business Conduct is available on the Company’s website under the Investor Relations section at www.ollies.us. In accordance with the rules adopted by the SEC and NASDAQ, the Company intends to promptly disclose any amendments to certain provisions of the Code of Ethical Business Conduct, or waivers of such provisions granted to executive officers and directors, on its website under the Investor Relations section at www.ollies.us. The information contained on or accessible through the Company’s website is not incorporated by reference into this Annual Report on Form 10-K.</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9" w:name="ExecutiveCompensation"/>
      <w:bookmarkStart w:id="50" w:name="ExecutiveCompensation"/>
      <w:bookmarkEnd w:id="50"/>
    </w:p>
    <w:tbl>
      <w:tblPr>
        <w:tblW w:w="3325" w:type="dxa"/>
        <w:jc w:val="left"/>
        <w:tblInd w:w="0" w:type="dxa"/>
        <w:tblLayout w:type="fixed"/>
        <w:tblCellMar>
          <w:top w:w="0" w:type="dxa"/>
          <w:left w:w="0" w:type="dxa"/>
          <w:bottom w:w="0" w:type="dxa"/>
          <w:right w:w="0" w:type="dxa"/>
        </w:tblCellMar>
      </w:tblPr>
      <w:tblGrid>
        <w:gridCol w:w="860"/>
        <w:gridCol w:w="2465"/>
      </w:tblGrid>
      <w:tr>
        <w:trPr/>
        <w:tc>
          <w:tcPr>
            <w:tcW w:w="860" w:type="dxa"/>
            <w:tcBorders/>
            <w:vAlign w:val="center"/>
          </w:tcPr>
          <w:p>
            <w:pPr>
              <w:pStyle w:val="TableContents"/>
              <w:bidi w:val="0"/>
              <w:spacing w:before="0" w:after="283"/>
              <w:jc w:val="left"/>
              <w:rPr>
                <w:b/>
              </w:rPr>
            </w:pPr>
            <w:r>
              <w:rPr>
                <w:b/>
              </w:rPr>
              <w:t>Item 11.</w:t>
            </w:r>
          </w:p>
        </w:tc>
        <w:tc>
          <w:tcPr>
            <w:tcW w:w="2465" w:type="dxa"/>
            <w:tcBorders/>
            <w:vAlign w:val="center"/>
          </w:tcPr>
          <w:p>
            <w:pPr>
              <w:pStyle w:val="TableContents"/>
              <w:bidi w:val="0"/>
              <w:spacing w:before="0" w:after="0"/>
              <w:jc w:val="both"/>
              <w:rPr>
                <w:b/>
                <w:i/>
              </w:rPr>
            </w:pPr>
            <w:r>
              <w:rPr>
                <w:b/>
                <w:i/>
              </w:rPr>
              <w:t>Executive Compensation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will be set forth in the Proxy Statement and is incorporated herein by reference.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1" w:name="SecurityOwnershipofCertai"/>
      <w:bookmarkStart w:id="52" w:name="SecurityOwnershipofCertai"/>
      <w:bookmarkEnd w:id="52"/>
    </w:p>
    <w:tbl>
      <w:tblPr>
        <w:tblW w:w="10205" w:type="dxa"/>
        <w:jc w:val="left"/>
        <w:tblInd w:w="0" w:type="dxa"/>
        <w:tblLayout w:type="fixed"/>
        <w:tblCellMar>
          <w:top w:w="0" w:type="dxa"/>
          <w:left w:w="0" w:type="dxa"/>
          <w:bottom w:w="0" w:type="dxa"/>
          <w:right w:w="0" w:type="dxa"/>
        </w:tblCellMar>
      </w:tblPr>
      <w:tblGrid>
        <w:gridCol w:w="836"/>
        <w:gridCol w:w="9369"/>
      </w:tblGrid>
      <w:tr>
        <w:trPr/>
        <w:tc>
          <w:tcPr>
            <w:tcW w:w="836" w:type="dxa"/>
            <w:tcBorders/>
            <w:vAlign w:val="center"/>
          </w:tcPr>
          <w:p>
            <w:pPr>
              <w:pStyle w:val="TableContents"/>
              <w:bidi w:val="0"/>
              <w:spacing w:before="0" w:after="283"/>
              <w:jc w:val="left"/>
              <w:rPr>
                <w:b/>
              </w:rPr>
            </w:pPr>
            <w:r>
              <w:rPr>
                <w:b/>
              </w:rPr>
              <w:t>Item 12.</w:t>
            </w:r>
          </w:p>
        </w:tc>
        <w:tc>
          <w:tcPr>
            <w:tcW w:w="9369" w:type="dxa"/>
            <w:tcBorders/>
            <w:vAlign w:val="center"/>
          </w:tcPr>
          <w:p>
            <w:pPr>
              <w:pStyle w:val="TableContents"/>
              <w:bidi w:val="0"/>
              <w:spacing w:before="0" w:after="0"/>
              <w:jc w:val="both"/>
              <w:rPr>
                <w:b/>
                <w:i/>
              </w:rPr>
            </w:pPr>
            <w:r>
              <w:rPr>
                <w:b/>
                <w:i/>
              </w:rPr>
              <w:t>Security Ownership of Certain Beneficial Owners and Management and Related Stockholder Matters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will be set forth in the Proxy Statement and is incorporated herein by reference.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 w:name="CertainRelationshipsandRe"/>
      <w:bookmarkStart w:id="54" w:name="CertainRelationshipsandRe"/>
      <w:bookmarkEnd w:id="54"/>
    </w:p>
    <w:tbl>
      <w:tblPr>
        <w:tblW w:w="8380" w:type="dxa"/>
        <w:jc w:val="left"/>
        <w:tblInd w:w="0" w:type="dxa"/>
        <w:tblLayout w:type="fixed"/>
        <w:tblCellMar>
          <w:top w:w="0" w:type="dxa"/>
          <w:left w:w="0" w:type="dxa"/>
          <w:bottom w:w="0" w:type="dxa"/>
          <w:right w:w="0" w:type="dxa"/>
        </w:tblCellMar>
      </w:tblPr>
      <w:tblGrid>
        <w:gridCol w:w="860"/>
        <w:gridCol w:w="7520"/>
      </w:tblGrid>
      <w:tr>
        <w:trPr/>
        <w:tc>
          <w:tcPr>
            <w:tcW w:w="860" w:type="dxa"/>
            <w:tcBorders/>
            <w:vAlign w:val="center"/>
          </w:tcPr>
          <w:p>
            <w:pPr>
              <w:pStyle w:val="TableContents"/>
              <w:bidi w:val="0"/>
              <w:spacing w:before="0" w:after="283"/>
              <w:jc w:val="left"/>
              <w:rPr>
                <w:b/>
              </w:rPr>
            </w:pPr>
            <w:r>
              <w:rPr>
                <w:b/>
              </w:rPr>
              <w:t>Item 13.</w:t>
            </w:r>
          </w:p>
        </w:tc>
        <w:tc>
          <w:tcPr>
            <w:tcW w:w="7520" w:type="dxa"/>
            <w:tcBorders/>
            <w:vAlign w:val="center"/>
          </w:tcPr>
          <w:p>
            <w:pPr>
              <w:pStyle w:val="TableContents"/>
              <w:bidi w:val="0"/>
              <w:spacing w:before="0" w:after="0"/>
              <w:jc w:val="both"/>
              <w:rPr>
                <w:b/>
                <w:i/>
              </w:rPr>
            </w:pPr>
            <w:r>
              <w:rPr>
                <w:b/>
                <w:i/>
              </w:rPr>
              <w:t>Certain Relationships and Related Transactions, and Director Independence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will be set forth in the Proxy Statement and is incorporated herein by reference.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 w:name="PrincipalAccountantFeesan"/>
      <w:bookmarkStart w:id="56" w:name="PrincipalAccountantFeesan"/>
      <w:bookmarkEnd w:id="56"/>
    </w:p>
    <w:tbl>
      <w:tblPr>
        <w:tblW w:w="4810" w:type="dxa"/>
        <w:jc w:val="left"/>
        <w:tblInd w:w="0" w:type="dxa"/>
        <w:tblLayout w:type="fixed"/>
        <w:tblCellMar>
          <w:top w:w="0" w:type="dxa"/>
          <w:left w:w="0" w:type="dxa"/>
          <w:bottom w:w="0" w:type="dxa"/>
          <w:right w:w="0" w:type="dxa"/>
        </w:tblCellMar>
      </w:tblPr>
      <w:tblGrid>
        <w:gridCol w:w="860"/>
        <w:gridCol w:w="3950"/>
      </w:tblGrid>
      <w:tr>
        <w:trPr/>
        <w:tc>
          <w:tcPr>
            <w:tcW w:w="860" w:type="dxa"/>
            <w:tcBorders/>
            <w:vAlign w:val="center"/>
          </w:tcPr>
          <w:p>
            <w:pPr>
              <w:pStyle w:val="TableContents"/>
              <w:bidi w:val="0"/>
              <w:spacing w:before="0" w:after="283"/>
              <w:jc w:val="left"/>
              <w:rPr>
                <w:b/>
              </w:rPr>
            </w:pPr>
            <w:r>
              <w:rPr>
                <w:b/>
              </w:rPr>
              <w:t>Item 14.</w:t>
            </w:r>
          </w:p>
        </w:tc>
        <w:tc>
          <w:tcPr>
            <w:tcW w:w="3950" w:type="dxa"/>
            <w:tcBorders/>
            <w:vAlign w:val="center"/>
          </w:tcPr>
          <w:p>
            <w:pPr>
              <w:pStyle w:val="TableContents"/>
              <w:bidi w:val="0"/>
              <w:spacing w:before="0" w:after="0"/>
              <w:jc w:val="both"/>
              <w:rPr>
                <w:b/>
                <w:i/>
              </w:rPr>
            </w:pPr>
            <w:r>
              <w:rPr>
                <w:b/>
                <w:i/>
              </w:rPr>
              <w:t>Principal Accountant Fees and Services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this Item will be set forth in the Proxy Statement and is incorporated herein by reference.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IV</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7" w:name="ExhibitsandFinancialState"/>
      <w:bookmarkStart w:id="58" w:name="ExhibitsandFinancialState"/>
      <w:bookmarkEnd w:id="58"/>
    </w:p>
    <w:tbl>
      <w:tblPr>
        <w:tblW w:w="5230" w:type="dxa"/>
        <w:jc w:val="left"/>
        <w:tblInd w:w="0" w:type="dxa"/>
        <w:tblLayout w:type="fixed"/>
        <w:tblCellMar>
          <w:top w:w="0" w:type="dxa"/>
          <w:left w:w="0" w:type="dxa"/>
          <w:bottom w:w="0" w:type="dxa"/>
          <w:right w:w="0" w:type="dxa"/>
        </w:tblCellMar>
      </w:tblPr>
      <w:tblGrid>
        <w:gridCol w:w="860"/>
        <w:gridCol w:w="4370"/>
      </w:tblGrid>
      <w:tr>
        <w:trPr/>
        <w:tc>
          <w:tcPr>
            <w:tcW w:w="860" w:type="dxa"/>
            <w:tcBorders/>
            <w:vAlign w:val="center"/>
          </w:tcPr>
          <w:p>
            <w:pPr>
              <w:pStyle w:val="TableContents"/>
              <w:bidi w:val="0"/>
              <w:spacing w:before="0" w:after="283"/>
              <w:jc w:val="left"/>
              <w:rPr>
                <w:b/>
              </w:rPr>
            </w:pPr>
            <w:r>
              <w:rPr>
                <w:b/>
              </w:rPr>
              <w:t>Item 15.</w:t>
            </w:r>
          </w:p>
        </w:tc>
        <w:tc>
          <w:tcPr>
            <w:tcW w:w="4370" w:type="dxa"/>
            <w:tcBorders/>
            <w:vAlign w:val="center"/>
          </w:tcPr>
          <w:p>
            <w:pPr>
              <w:pStyle w:val="TableContents"/>
              <w:bidi w:val="0"/>
              <w:spacing w:before="0" w:after="0"/>
              <w:jc w:val="both"/>
              <w:rPr>
                <w:b/>
                <w:i/>
              </w:rPr>
            </w:pPr>
            <w:r>
              <w:rPr>
                <w:b/>
                <w:i/>
              </w:rPr>
              <w:t>Exhibits and Financial Statement Schedules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Financial Statements and Financial Statement Schedules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“Index to Consolidated Financial Statements” in Item 8 of this Annual Report on Form 10-K. Financial statement schedules have been omitted because they are not required or are not applicable or because the information required in those schedules either is not material or is included in the consolidated financial statements or the accompanying notes.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200" w:right="0" w:hanging="200"/>
        <w:jc w:val="both"/>
        <w:rPr>
          <w:rFonts w:ascii="Times New Roman" w:hAnsi="Times New Roman"/>
          <w:b/>
          <w:i/>
          <w:color w:val="000000"/>
          <w:sz w:val="20"/>
          <w:shd w:fill="FFFFFF" w:val="clear"/>
        </w:rPr>
      </w:pPr>
      <w:r>
        <w:rPr>
          <w:rFonts w:ascii="Times New Roman" w:hAnsi="Times New Roman"/>
          <w:b/>
          <w:i/>
          <w:color w:val="000000"/>
          <w:sz w:val="20"/>
          <w:shd w:fill="FFFFFF" w:val="clear"/>
        </w:rPr>
        <w:t>Exhibits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exhibits listed in the accompanying index to exhibits are filed or incorporated by reference as part of this Annual Report on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10205" w:type="dxa"/>
        <w:jc w:val="left"/>
        <w:tblInd w:w="0" w:type="dxa"/>
        <w:tblLayout w:type="fixed"/>
        <w:tblCellMar>
          <w:top w:w="0" w:type="dxa"/>
          <w:left w:w="0" w:type="dxa"/>
          <w:bottom w:w="28" w:type="dxa"/>
          <w:right w:w="0" w:type="dxa"/>
        </w:tblCellMar>
      </w:tblPr>
      <w:tblGrid>
        <w:gridCol w:w="845"/>
        <w:gridCol w:w="9360"/>
      </w:tblGrid>
      <w:tr>
        <w:trPr/>
        <w:tc>
          <w:tcPr>
            <w:tcW w:w="845" w:type="dxa"/>
            <w:tcBorders>
              <w:bottom w:val="single" w:sz="12" w:space="0" w:color="000000"/>
            </w:tcBorders>
            <w:vAlign w:val="center"/>
          </w:tcPr>
          <w:p>
            <w:pPr>
              <w:pStyle w:val="TableContents"/>
              <w:bidi w:val="0"/>
              <w:spacing w:before="0" w:after="0"/>
              <w:jc w:val="left"/>
              <w:rPr>
                <w:b/>
              </w:rPr>
            </w:pPr>
            <w:r>
              <w:rPr>
                <w:b/>
              </w:rPr>
              <w:t>Exhibit no.</w:t>
            </w:r>
          </w:p>
        </w:tc>
        <w:tc>
          <w:tcPr>
            <w:tcW w:w="9360" w:type="dxa"/>
            <w:tcBorders>
              <w:bottom w:val="single" w:sz="12" w:space="0" w:color="000000"/>
            </w:tcBorders>
            <w:vAlign w:val="center"/>
          </w:tcPr>
          <w:p>
            <w:pPr>
              <w:pStyle w:val="TableContents"/>
              <w:bidi w:val="0"/>
              <w:spacing w:before="0" w:after="0"/>
              <w:jc w:val="left"/>
              <w:rPr>
                <w:b/>
              </w:rPr>
            </w:pPr>
            <w:r>
              <w:rPr>
                <w:b/>
              </w:rPr>
              <w:t>Description</w:t>
            </w:r>
          </w:p>
        </w:tc>
      </w:tr>
      <w:tr>
        <w:trPr/>
        <w:tc>
          <w:tcPr>
            <w:tcW w:w="845" w:type="dxa"/>
            <w:tcBorders/>
            <w:shd w:fill="CCEEFF" w:val="clear"/>
            <w:tcMar>
              <w:bottom w:w="0" w:type="dxa"/>
            </w:tcMar>
            <w:vAlign w:val="center"/>
          </w:tcPr>
          <w:p>
            <w:pPr>
              <w:pStyle w:val="TableContents"/>
              <w:bidi w:val="0"/>
              <w:spacing w:before="0" w:after="0"/>
              <w:jc w:val="left"/>
              <w:rPr/>
            </w:pPr>
            <w:hyperlink r:id="rId5">
              <w:r>
                <w:rPr>
                  <w:rStyle w:val="InternetLink"/>
                </w:rPr>
                <w:t>3.1†</w:t>
              </w:r>
            </w:hyperlink>
          </w:p>
        </w:tc>
        <w:tc>
          <w:tcPr>
            <w:tcW w:w="9360" w:type="dxa"/>
            <w:tcBorders/>
            <w:shd w:fill="CCEEFF" w:val="clear"/>
            <w:tcMar>
              <w:bottom w:w="0" w:type="dxa"/>
            </w:tcMar>
            <w:vAlign w:val="center"/>
          </w:tcPr>
          <w:p>
            <w:pPr>
              <w:pStyle w:val="TableContents"/>
              <w:bidi w:val="0"/>
              <w:spacing w:before="0" w:after="0"/>
              <w:jc w:val="both"/>
              <w:rPr/>
            </w:pPr>
            <w:r>
              <w:rPr/>
              <w:t>Third Amended and Restated Certificate of Incorporation of Ollie’s Bargain Outlet Holdings, Inc., as effective June 25, 2019 (incorporate by reference to Exhibit 3.1 to the Current Report filed on Form 8-K by the Company on July 1, 2019 (No. 001-37501)).</w:t>
            </w:r>
          </w:p>
        </w:tc>
      </w:tr>
      <w:tr>
        <w:trPr/>
        <w:tc>
          <w:tcPr>
            <w:tcW w:w="845" w:type="dxa"/>
            <w:tcBorders/>
            <w:tcMar>
              <w:bottom w:w="0" w:type="dxa"/>
            </w:tcMar>
            <w:vAlign w:val="center"/>
          </w:tcPr>
          <w:p>
            <w:pPr>
              <w:pStyle w:val="TableContents"/>
              <w:bidi w:val="0"/>
              <w:spacing w:before="0" w:after="0"/>
              <w:jc w:val="left"/>
              <w:rPr/>
            </w:pPr>
            <w:hyperlink r:id="rId6">
              <w:r>
                <w:rPr>
                  <w:rStyle w:val="InternetLink"/>
                </w:rPr>
                <w:t>3.2†</w:t>
              </w:r>
            </w:hyperlink>
          </w:p>
        </w:tc>
        <w:tc>
          <w:tcPr>
            <w:tcW w:w="9360" w:type="dxa"/>
            <w:tcBorders/>
            <w:tcMar>
              <w:bottom w:w="0" w:type="dxa"/>
            </w:tcMar>
            <w:vAlign w:val="center"/>
          </w:tcPr>
          <w:p>
            <w:pPr>
              <w:pStyle w:val="TableContents"/>
              <w:bidi w:val="0"/>
              <w:spacing w:before="0" w:after="0"/>
              <w:jc w:val="both"/>
              <w:rPr/>
            </w:pPr>
            <w:r>
              <w:rPr/>
              <w:t>Fourth Amended and Restated Bylaws of Ollie’s Bargain Outlet Holdings, Inc., as effective June 25, 2019 (incorporated by reference to Exhibit 3.2 to the Current Report filed on Form 8-K by the Company on July 1, 2019 (No. 001-37501)).</w:t>
            </w:r>
          </w:p>
        </w:tc>
      </w:tr>
      <w:tr>
        <w:trPr/>
        <w:tc>
          <w:tcPr>
            <w:tcW w:w="845" w:type="dxa"/>
            <w:tcBorders/>
            <w:shd w:fill="CCEEFF" w:val="clear"/>
            <w:tcMar>
              <w:bottom w:w="0" w:type="dxa"/>
            </w:tcMar>
            <w:vAlign w:val="center"/>
          </w:tcPr>
          <w:p>
            <w:pPr>
              <w:pStyle w:val="TableContents"/>
              <w:bidi w:val="0"/>
              <w:spacing w:before="0" w:after="0"/>
              <w:jc w:val="left"/>
              <w:rPr/>
            </w:pPr>
            <w:hyperlink r:id="rId7">
              <w:r>
                <w:rPr>
                  <w:rStyle w:val="InternetLink"/>
                </w:rPr>
                <w:t>4.1†</w:t>
              </w:r>
            </w:hyperlink>
          </w:p>
        </w:tc>
        <w:tc>
          <w:tcPr>
            <w:tcW w:w="9360" w:type="dxa"/>
            <w:tcBorders/>
            <w:shd w:fill="CCEEFF" w:val="clear"/>
            <w:tcMar>
              <w:bottom w:w="0" w:type="dxa"/>
            </w:tcMar>
            <w:vAlign w:val="center"/>
          </w:tcPr>
          <w:p>
            <w:pPr>
              <w:pStyle w:val="TableContents"/>
              <w:bidi w:val="0"/>
              <w:spacing w:before="0" w:after="0"/>
              <w:jc w:val="both"/>
              <w:rPr/>
            </w:pPr>
            <w:r>
              <w:rPr/>
              <w:t>Form of Certificate of Common Stock (incorporated by reference to Exhibit 4.1 to Amendment No. 3 to the Form S-1 Registration Statement filed by the Company on July 8, 2015 (No. 333-204942)).</w:t>
            </w:r>
          </w:p>
        </w:tc>
      </w:tr>
      <w:tr>
        <w:trPr/>
        <w:tc>
          <w:tcPr>
            <w:tcW w:w="845" w:type="dxa"/>
            <w:tcBorders/>
            <w:tcMar>
              <w:bottom w:w="0" w:type="dxa"/>
            </w:tcMar>
            <w:vAlign w:val="center"/>
          </w:tcPr>
          <w:p>
            <w:pPr>
              <w:pStyle w:val="TableContents"/>
              <w:bidi w:val="0"/>
              <w:spacing w:before="0" w:after="0"/>
              <w:jc w:val="left"/>
              <w:rPr/>
            </w:pPr>
            <w:hyperlink r:id="rId8">
              <w:r>
                <w:rPr>
                  <w:rStyle w:val="InternetLink"/>
                </w:rPr>
                <w:t>4.2†</w:t>
              </w:r>
            </w:hyperlink>
          </w:p>
        </w:tc>
        <w:tc>
          <w:tcPr>
            <w:tcW w:w="9360" w:type="dxa"/>
            <w:tcBorders/>
            <w:tcMar>
              <w:bottom w:w="0" w:type="dxa"/>
            </w:tcMar>
            <w:vAlign w:val="center"/>
          </w:tcPr>
          <w:p>
            <w:pPr>
              <w:pStyle w:val="TableContents"/>
              <w:bidi w:val="0"/>
              <w:spacing w:before="0" w:after="0"/>
              <w:jc w:val="both"/>
              <w:rPr/>
            </w:pPr>
            <w:r>
              <w:rPr/>
              <w:t>Description of the Registrant’s Securities Registered Pursuant to Section 12 of the Securities Exchange Act of 1934 (incorporated by reference to Exhibit 4.2 to the Form 10-K filed by the Company on March 24, 2021 (No. 001-37501)).</w:t>
            </w:r>
          </w:p>
        </w:tc>
      </w:tr>
      <w:tr>
        <w:trPr/>
        <w:tc>
          <w:tcPr>
            <w:tcW w:w="845" w:type="dxa"/>
            <w:tcBorders/>
            <w:shd w:fill="CCEEFF" w:val="clear"/>
            <w:tcMar>
              <w:bottom w:w="0" w:type="dxa"/>
            </w:tcMar>
            <w:vAlign w:val="center"/>
          </w:tcPr>
          <w:p>
            <w:pPr>
              <w:pStyle w:val="TableContents"/>
              <w:bidi w:val="0"/>
              <w:spacing w:before="0" w:after="0"/>
              <w:jc w:val="left"/>
              <w:rPr/>
            </w:pPr>
            <w:hyperlink r:id="rId9">
              <w:r>
                <w:rPr>
                  <w:rStyle w:val="InternetLink"/>
                </w:rPr>
                <w:t>10.1†</w:t>
              </w:r>
            </w:hyperlink>
          </w:p>
        </w:tc>
        <w:tc>
          <w:tcPr>
            <w:tcW w:w="9360" w:type="dxa"/>
            <w:tcBorders/>
            <w:shd w:fill="CCEEFF" w:val="clear"/>
            <w:tcMar>
              <w:bottom w:w="0" w:type="dxa"/>
            </w:tcMar>
            <w:vAlign w:val="center"/>
          </w:tcPr>
          <w:p>
            <w:pPr>
              <w:pStyle w:val="TableContents"/>
              <w:bidi w:val="0"/>
              <w:spacing w:before="0" w:after="0"/>
              <w:jc w:val="both"/>
              <w:rPr/>
            </w:pPr>
            <w:r>
              <w:rPr/>
              <w:t>Amended and Restated Credit Agreement, dated May 22, 2019, among Bargain Parent, Inc., OBO Ventures, Inc. and certain subsidiaries, as borrowers, Manufacturers and Traders Trust Company, as Administrative Agent, and certain lenders party thereto (incorporated by reference to Exhibit 10.1 to the Current Report filed on Form 8-K by the Company on May 24, 2019 (No. 001-37501)).</w:t>
            </w:r>
          </w:p>
        </w:tc>
      </w:tr>
      <w:tr>
        <w:trPr/>
        <w:tc>
          <w:tcPr>
            <w:tcW w:w="845" w:type="dxa"/>
            <w:tcBorders/>
            <w:tcMar>
              <w:bottom w:w="0" w:type="dxa"/>
            </w:tcMar>
            <w:vAlign w:val="center"/>
          </w:tcPr>
          <w:p>
            <w:pPr>
              <w:pStyle w:val="TableContents"/>
              <w:bidi w:val="0"/>
              <w:spacing w:before="0" w:after="0"/>
              <w:jc w:val="left"/>
              <w:rPr/>
            </w:pPr>
            <w:hyperlink r:id="rId10">
              <w:r>
                <w:rPr>
                  <w:rStyle w:val="InternetLink"/>
                </w:rPr>
                <w:t>10.2†</w:t>
              </w:r>
            </w:hyperlink>
          </w:p>
        </w:tc>
        <w:tc>
          <w:tcPr>
            <w:tcW w:w="9360" w:type="dxa"/>
            <w:tcBorders/>
            <w:tcMar>
              <w:bottom w:w="0" w:type="dxa"/>
            </w:tcMar>
            <w:vAlign w:val="center"/>
          </w:tcPr>
          <w:p>
            <w:pPr>
              <w:pStyle w:val="TableContents"/>
              <w:bidi w:val="0"/>
              <w:spacing w:before="0" w:after="0"/>
              <w:jc w:val="both"/>
              <w:rPr/>
            </w:pPr>
            <w:r>
              <w:rPr/>
              <w:t>First Amendment, dated as of January 24, 2023, to Amended and Restated Credit Agreement, among Bargain Parent, Inc., OBO Ventures, Inc. and certain subsidiaries, as borrowers, Manufacturers and Traders Trust Company, as Administrative Agent, and certain lenders party thereto (incorporated by reference to Exhibit 10.1 to the Current Report filed on Form 8-K by the Company on January 26, 2023 (No. 001-37501)).</w:t>
            </w:r>
          </w:p>
        </w:tc>
      </w:tr>
      <w:tr>
        <w:trPr/>
        <w:tc>
          <w:tcPr>
            <w:tcW w:w="845" w:type="dxa"/>
            <w:tcBorders/>
            <w:shd w:fill="CCEEFF" w:val="clear"/>
            <w:tcMar>
              <w:bottom w:w="0" w:type="dxa"/>
            </w:tcMar>
            <w:vAlign w:val="center"/>
          </w:tcPr>
          <w:p>
            <w:pPr>
              <w:pStyle w:val="TableContents"/>
              <w:bidi w:val="0"/>
              <w:spacing w:before="0" w:after="0"/>
              <w:jc w:val="left"/>
              <w:rPr/>
            </w:pPr>
            <w:hyperlink r:id="rId11">
              <w:r>
                <w:rPr>
                  <w:rStyle w:val="InternetLink"/>
                </w:rPr>
                <w:t>10.3†</w:t>
              </w:r>
            </w:hyperlink>
          </w:p>
        </w:tc>
        <w:tc>
          <w:tcPr>
            <w:tcW w:w="9360" w:type="dxa"/>
            <w:tcBorders/>
            <w:shd w:fill="CCEEFF" w:val="clear"/>
            <w:tcMar>
              <w:bottom w:w="0" w:type="dxa"/>
            </w:tcMar>
            <w:vAlign w:val="center"/>
          </w:tcPr>
          <w:p>
            <w:pPr>
              <w:pStyle w:val="TableContents"/>
              <w:bidi w:val="0"/>
              <w:spacing w:before="0" w:after="0"/>
              <w:jc w:val="both"/>
              <w:rPr/>
            </w:pPr>
            <w:r>
              <w:rPr/>
              <w:t>Second Amendment, dated as of January 9, 2024, to Amended and Restated Credit Agreement, among Bargain Parent, Inc., OBO Ventures, Inc. and certain subsidiaries, as borrowers, Manufacturers and Traders Trust Company, as Administrative Agent, and certain lenders party thereto (incorporated by reference to Exhibit 10.1 to the Current Report filed on Form 8-K by the Company on January 9, 2024 (No. 001-37501)).</w:t>
            </w:r>
          </w:p>
        </w:tc>
      </w:tr>
      <w:tr>
        <w:trPr/>
        <w:tc>
          <w:tcPr>
            <w:tcW w:w="845" w:type="dxa"/>
            <w:tcBorders/>
            <w:tcMar>
              <w:bottom w:w="0" w:type="dxa"/>
            </w:tcMar>
            <w:vAlign w:val="center"/>
          </w:tcPr>
          <w:p>
            <w:pPr>
              <w:pStyle w:val="TableContents"/>
              <w:bidi w:val="0"/>
              <w:spacing w:before="0" w:after="0"/>
              <w:jc w:val="left"/>
              <w:rPr/>
            </w:pPr>
            <w:hyperlink r:id="rId12">
              <w:r>
                <w:rPr>
                  <w:rStyle w:val="InternetLink"/>
                </w:rPr>
                <w:t>10.4†</w:t>
              </w:r>
            </w:hyperlink>
          </w:p>
        </w:tc>
        <w:tc>
          <w:tcPr>
            <w:tcW w:w="9360" w:type="dxa"/>
            <w:tcBorders/>
            <w:tcMar>
              <w:bottom w:w="0" w:type="dxa"/>
            </w:tcMar>
            <w:vAlign w:val="center"/>
          </w:tcPr>
          <w:p>
            <w:pPr>
              <w:pStyle w:val="TableContents"/>
              <w:bidi w:val="0"/>
              <w:spacing w:before="0" w:after="0"/>
              <w:jc w:val="both"/>
              <w:rPr/>
            </w:pPr>
            <w:r>
              <w:rPr/>
              <w:t>Amended and Restated Guarantee and Collateral Agreement, dated May 22, 2019, Bargain Parent, Inc., Ollie’s Holdings, Inc., OBO Ventures, Inc. and certain subsidiaries, in favor of Manufacturers and Trading Trust Company, as Administrative Agent (incorporated by reference to Exhibit 10.2 to the Current Report filed on Form 8-K by the Company on May 24, 2019 (No. 001-37501)).</w:t>
            </w:r>
          </w:p>
        </w:tc>
      </w:tr>
      <w:tr>
        <w:trPr/>
        <w:tc>
          <w:tcPr>
            <w:tcW w:w="845" w:type="dxa"/>
            <w:tcBorders/>
            <w:shd w:fill="CCEEFF" w:val="clear"/>
            <w:tcMar>
              <w:bottom w:w="0" w:type="dxa"/>
            </w:tcMar>
            <w:vAlign w:val="center"/>
          </w:tcPr>
          <w:p>
            <w:pPr>
              <w:pStyle w:val="TableContents"/>
              <w:bidi w:val="0"/>
              <w:spacing w:before="0" w:after="0"/>
              <w:jc w:val="left"/>
              <w:rPr/>
            </w:pPr>
            <w:hyperlink r:id="rId13">
              <w:r>
                <w:rPr>
                  <w:rStyle w:val="InternetLink"/>
                </w:rPr>
                <w:t>10.</w:t>
              </w:r>
            </w:hyperlink>
            <w:hyperlink r:id="rId14">
              <w:r>
                <w:rPr>
                  <w:rStyle w:val="InternetLink"/>
                  <w:color w:val="0000FF"/>
                </w:rPr>
                <w:t>5</w:t>
              </w:r>
            </w:hyperlink>
            <w:hyperlink r:id="rId15">
              <w:r>
                <w:rPr>
                  <w:rStyle w:val="InternetLink"/>
                </w:rPr>
                <w:t>†</w:t>
              </w:r>
            </w:hyperlink>
          </w:p>
        </w:tc>
        <w:tc>
          <w:tcPr>
            <w:tcW w:w="9360" w:type="dxa"/>
            <w:tcBorders/>
            <w:shd w:fill="CCEEFF" w:val="clear"/>
            <w:tcMar>
              <w:bottom w:w="0" w:type="dxa"/>
            </w:tcMar>
            <w:vAlign w:val="center"/>
          </w:tcPr>
          <w:p>
            <w:pPr>
              <w:pStyle w:val="TableContents"/>
              <w:bidi w:val="0"/>
              <w:spacing w:before="0" w:after="0"/>
              <w:jc w:val="both"/>
              <w:rPr/>
            </w:pPr>
            <w:r>
              <w:rPr/>
              <w:t>Form of Director and Officer Indemnification Agreement (incorporated by reference to Exhibit 10.9.1 to Amendment No. 3 to the Form S-1 Registration Statement filed by the Company on July 8, 2015 (No. 333-204942)).</w:t>
            </w:r>
          </w:p>
        </w:tc>
      </w:tr>
      <w:tr>
        <w:trPr/>
        <w:tc>
          <w:tcPr>
            <w:tcW w:w="845" w:type="dxa"/>
            <w:tcBorders/>
            <w:tcMar>
              <w:bottom w:w="0" w:type="dxa"/>
            </w:tcMar>
            <w:vAlign w:val="center"/>
          </w:tcPr>
          <w:p>
            <w:pPr>
              <w:pStyle w:val="TableContents"/>
              <w:bidi w:val="0"/>
              <w:spacing w:before="0" w:after="0"/>
              <w:jc w:val="left"/>
              <w:rPr/>
            </w:pPr>
            <w:hyperlink r:id="rId16">
              <w:r>
                <w:rPr>
                  <w:rStyle w:val="InternetLink"/>
                </w:rPr>
                <w:t>10.6†+</w:t>
              </w:r>
            </w:hyperlink>
          </w:p>
        </w:tc>
        <w:tc>
          <w:tcPr>
            <w:tcW w:w="9360" w:type="dxa"/>
            <w:tcBorders/>
            <w:tcMar>
              <w:bottom w:w="0" w:type="dxa"/>
            </w:tcMar>
            <w:vAlign w:val="center"/>
          </w:tcPr>
          <w:p>
            <w:pPr>
              <w:pStyle w:val="TableContents"/>
              <w:bidi w:val="0"/>
              <w:spacing w:before="0" w:after="0"/>
              <w:jc w:val="both"/>
              <w:rPr/>
            </w:pPr>
            <w:r>
              <w:rPr/>
              <w:t>Employment Agreement, dated September 28, 2012, by and between Ollie’s Bargain Outlet, Inc. and John W. Swygert, Jr. (incorporated by reference to Exhibit 10.11 to the Form S-1 Registration Statement filed by the Company on June 15, 2015 (No. 333-204942)).</w:t>
            </w:r>
          </w:p>
        </w:tc>
      </w:tr>
      <w:tr>
        <w:trPr/>
        <w:tc>
          <w:tcPr>
            <w:tcW w:w="845" w:type="dxa"/>
            <w:tcBorders/>
            <w:shd w:fill="CCEEFF" w:val="clear"/>
            <w:tcMar>
              <w:bottom w:w="0" w:type="dxa"/>
            </w:tcMar>
            <w:vAlign w:val="center"/>
          </w:tcPr>
          <w:p>
            <w:pPr>
              <w:pStyle w:val="TableContents"/>
              <w:bidi w:val="0"/>
              <w:spacing w:before="0" w:after="0"/>
              <w:jc w:val="left"/>
              <w:rPr/>
            </w:pPr>
            <w:hyperlink r:id="rId17">
              <w:r>
                <w:rPr>
                  <w:rStyle w:val="InternetLink"/>
                </w:rPr>
                <w:t>10.7†+</w:t>
              </w:r>
            </w:hyperlink>
          </w:p>
        </w:tc>
        <w:tc>
          <w:tcPr>
            <w:tcW w:w="9360" w:type="dxa"/>
            <w:tcBorders/>
            <w:shd w:fill="CCEEFF" w:val="clear"/>
            <w:tcMar>
              <w:bottom w:w="0" w:type="dxa"/>
            </w:tcMar>
            <w:vAlign w:val="center"/>
          </w:tcPr>
          <w:p>
            <w:pPr>
              <w:pStyle w:val="TableContents"/>
              <w:bidi w:val="0"/>
              <w:spacing w:before="0" w:after="0"/>
              <w:jc w:val="both"/>
              <w:rPr/>
            </w:pPr>
            <w:r>
              <w:rPr/>
              <w:t>Employment Agreement, dated May 12, 2014, by and between Ollie’s Bargain Outlet, Inc. and Kevin McLain (incorporated by reference to Exhibit 10.13 to the Form S-1 Registration Statement filed by the Company on June 15, 2015 (No. 333-204942)).</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10205" w:type="dxa"/>
        <w:jc w:val="left"/>
        <w:tblInd w:w="0" w:type="dxa"/>
        <w:tblLayout w:type="fixed"/>
        <w:tblCellMar>
          <w:top w:w="0" w:type="dxa"/>
          <w:left w:w="0" w:type="dxa"/>
          <w:bottom w:w="28" w:type="dxa"/>
          <w:right w:w="0" w:type="dxa"/>
        </w:tblCellMar>
      </w:tblPr>
      <w:tblGrid>
        <w:gridCol w:w="888"/>
        <w:gridCol w:w="9317"/>
      </w:tblGrid>
      <w:tr>
        <w:trPr/>
        <w:tc>
          <w:tcPr>
            <w:tcW w:w="888" w:type="dxa"/>
            <w:tcBorders>
              <w:bottom w:val="single" w:sz="12" w:space="0" w:color="000000"/>
            </w:tcBorders>
            <w:vAlign w:val="center"/>
          </w:tcPr>
          <w:p>
            <w:pPr>
              <w:pStyle w:val="TableContents"/>
              <w:bidi w:val="0"/>
              <w:spacing w:before="0" w:after="0"/>
              <w:jc w:val="left"/>
              <w:rPr>
                <w:b/>
              </w:rPr>
            </w:pPr>
            <w:r>
              <w:rPr>
                <w:b/>
              </w:rPr>
              <w:t>Exhibit no.</w:t>
            </w:r>
          </w:p>
        </w:tc>
        <w:tc>
          <w:tcPr>
            <w:tcW w:w="9317" w:type="dxa"/>
            <w:tcBorders>
              <w:bottom w:val="single" w:sz="12" w:space="0" w:color="000000"/>
            </w:tcBorders>
            <w:vAlign w:val="center"/>
          </w:tcPr>
          <w:p>
            <w:pPr>
              <w:pStyle w:val="TableContents"/>
              <w:bidi w:val="0"/>
              <w:spacing w:before="0" w:after="0"/>
              <w:jc w:val="left"/>
              <w:rPr>
                <w:b/>
              </w:rPr>
            </w:pPr>
            <w:r>
              <w:rPr>
                <w:b/>
              </w:rPr>
              <w:t>Description</w:t>
            </w:r>
          </w:p>
        </w:tc>
      </w:tr>
      <w:tr>
        <w:trPr/>
        <w:tc>
          <w:tcPr>
            <w:tcW w:w="888" w:type="dxa"/>
            <w:tcBorders/>
            <w:shd w:fill="CCEEFF" w:val="clear"/>
            <w:tcMar>
              <w:bottom w:w="0" w:type="dxa"/>
            </w:tcMar>
            <w:vAlign w:val="center"/>
          </w:tcPr>
          <w:p>
            <w:pPr>
              <w:pStyle w:val="TableContents"/>
              <w:bidi w:val="0"/>
              <w:spacing w:before="0" w:after="0"/>
              <w:jc w:val="left"/>
              <w:rPr/>
            </w:pPr>
            <w:hyperlink r:id="rId18">
              <w:r>
                <w:rPr>
                  <w:rStyle w:val="InternetLink"/>
                </w:rPr>
                <w:t>10.8†</w:t>
              </w:r>
            </w:hyperlink>
          </w:p>
        </w:tc>
        <w:tc>
          <w:tcPr>
            <w:tcW w:w="9317" w:type="dxa"/>
            <w:tcBorders/>
            <w:shd w:fill="CCEEFF" w:val="clear"/>
            <w:tcMar>
              <w:bottom w:w="0" w:type="dxa"/>
            </w:tcMar>
            <w:vAlign w:val="center"/>
          </w:tcPr>
          <w:p>
            <w:pPr>
              <w:pStyle w:val="TableContents"/>
              <w:bidi w:val="0"/>
              <w:spacing w:before="0" w:after="0"/>
              <w:jc w:val="both"/>
              <w:rPr/>
            </w:pPr>
            <w:r>
              <w:rPr/>
              <w:t>Employment Agreement, dated May 3, 2021, by and between Ollie’s Bargain Outlet, Inc. and Eric van der Valk (incorporated by reference to Exhibit 10.1 to the Current Report filed on Form 8-K by the Company on May 3, 2021 (No. 001-37501)).</w:t>
            </w:r>
          </w:p>
        </w:tc>
      </w:tr>
      <w:tr>
        <w:trPr/>
        <w:tc>
          <w:tcPr>
            <w:tcW w:w="888" w:type="dxa"/>
            <w:tcBorders/>
            <w:tcMar>
              <w:bottom w:w="0" w:type="dxa"/>
            </w:tcMar>
            <w:vAlign w:val="center"/>
          </w:tcPr>
          <w:p>
            <w:pPr>
              <w:pStyle w:val="TableContents"/>
              <w:bidi w:val="0"/>
              <w:spacing w:before="0" w:after="0"/>
              <w:jc w:val="left"/>
              <w:rPr/>
            </w:pPr>
            <w:hyperlink r:id="rId19">
              <w:r>
                <w:rPr>
                  <w:rStyle w:val="InternetLink"/>
                </w:rPr>
                <w:t>10.9†+</w:t>
              </w:r>
            </w:hyperlink>
          </w:p>
        </w:tc>
        <w:tc>
          <w:tcPr>
            <w:tcW w:w="9317" w:type="dxa"/>
            <w:tcBorders/>
            <w:tcMar>
              <w:bottom w:w="0" w:type="dxa"/>
            </w:tcMar>
            <w:vAlign w:val="center"/>
          </w:tcPr>
          <w:p>
            <w:pPr>
              <w:pStyle w:val="TableContents"/>
              <w:bidi w:val="0"/>
              <w:spacing w:before="0" w:after="0"/>
              <w:jc w:val="both"/>
              <w:rPr/>
            </w:pPr>
            <w:r>
              <w:rPr/>
              <w:t>Amendment to Employment Agreement, dated June 28, 2022, by and between Ollie’s Bargain Outlet, Inc. and Eric van der Valk (incorporated by reference to Exhibit 10.1 to the Current Report filed on Form 8-K by the Company on June 28, 2022 (No. 001-37501)).</w:t>
            </w:r>
          </w:p>
        </w:tc>
      </w:tr>
      <w:tr>
        <w:trPr/>
        <w:tc>
          <w:tcPr>
            <w:tcW w:w="888" w:type="dxa"/>
            <w:tcBorders/>
            <w:shd w:fill="CCEEFF" w:val="clear"/>
            <w:tcMar>
              <w:bottom w:w="0" w:type="dxa"/>
            </w:tcMar>
            <w:vAlign w:val="center"/>
          </w:tcPr>
          <w:p>
            <w:pPr>
              <w:pStyle w:val="TableContents"/>
              <w:bidi w:val="0"/>
              <w:spacing w:before="0" w:after="0"/>
              <w:jc w:val="left"/>
              <w:rPr/>
            </w:pPr>
            <w:hyperlink r:id="rId20">
              <w:r>
                <w:rPr>
                  <w:rStyle w:val="InternetLink"/>
                </w:rPr>
                <w:t>10.10†+</w:t>
              </w:r>
            </w:hyperlink>
          </w:p>
        </w:tc>
        <w:tc>
          <w:tcPr>
            <w:tcW w:w="9317" w:type="dxa"/>
            <w:tcBorders/>
            <w:shd w:fill="CCEEFF" w:val="clear"/>
            <w:tcMar>
              <w:bottom w:w="0" w:type="dxa"/>
            </w:tcMar>
            <w:vAlign w:val="center"/>
          </w:tcPr>
          <w:p>
            <w:pPr>
              <w:pStyle w:val="TableContents"/>
              <w:bidi w:val="0"/>
              <w:spacing w:before="0" w:after="0"/>
              <w:jc w:val="both"/>
              <w:rPr/>
            </w:pPr>
            <w:r>
              <w:rPr/>
              <w:t>Employment Agreement, dated October 1, 2021, by and between Ollie’s Bargain Outlet, Inc. and James Comitale (incorporated by reference to Exhibit 10.1 to the Quarterly Report filed on Form 10-Q by the Company on December 7, 2021 (No. 001-37501)).</w:t>
            </w:r>
          </w:p>
        </w:tc>
      </w:tr>
      <w:tr>
        <w:trPr/>
        <w:tc>
          <w:tcPr>
            <w:tcW w:w="888" w:type="dxa"/>
            <w:tcBorders/>
            <w:tcMar>
              <w:bottom w:w="0" w:type="dxa"/>
            </w:tcMar>
            <w:vAlign w:val="center"/>
          </w:tcPr>
          <w:p>
            <w:pPr>
              <w:pStyle w:val="TableContents"/>
              <w:bidi w:val="0"/>
              <w:spacing w:before="0" w:after="0"/>
              <w:jc w:val="left"/>
              <w:rPr/>
            </w:pPr>
            <w:hyperlink r:id="rId21">
              <w:r>
                <w:rPr>
                  <w:rStyle w:val="InternetLink"/>
                </w:rPr>
                <w:t>10.11†+</w:t>
              </w:r>
            </w:hyperlink>
          </w:p>
        </w:tc>
        <w:tc>
          <w:tcPr>
            <w:tcW w:w="9317" w:type="dxa"/>
            <w:tcBorders/>
            <w:tcMar>
              <w:bottom w:w="0" w:type="dxa"/>
            </w:tcMar>
            <w:vAlign w:val="center"/>
          </w:tcPr>
          <w:p>
            <w:pPr>
              <w:pStyle w:val="TableContents"/>
              <w:bidi w:val="0"/>
              <w:spacing w:before="0" w:after="0"/>
              <w:jc w:val="both"/>
              <w:rPr/>
            </w:pPr>
            <w:r>
              <w:rPr/>
              <w:t>Bargain Holdings Inc. 2012 Equity Incentive Plan (incorporated by reference to Exhibit 10.16 to the Form S-1 Registration Statement filed by the Company on June 15, 2015 (No. 333-204942)).</w:t>
            </w:r>
          </w:p>
        </w:tc>
      </w:tr>
      <w:tr>
        <w:trPr/>
        <w:tc>
          <w:tcPr>
            <w:tcW w:w="888" w:type="dxa"/>
            <w:tcBorders/>
            <w:shd w:fill="CCEEFF" w:val="clear"/>
            <w:tcMar>
              <w:bottom w:w="0" w:type="dxa"/>
            </w:tcMar>
            <w:vAlign w:val="center"/>
          </w:tcPr>
          <w:p>
            <w:pPr>
              <w:pStyle w:val="TableContents"/>
              <w:bidi w:val="0"/>
              <w:spacing w:before="0" w:after="0"/>
              <w:jc w:val="left"/>
              <w:rPr/>
            </w:pPr>
            <w:hyperlink r:id="rId22">
              <w:r>
                <w:rPr>
                  <w:rStyle w:val="InternetLink"/>
                </w:rPr>
                <w:t>10.12†+</w:t>
              </w:r>
            </w:hyperlink>
          </w:p>
        </w:tc>
        <w:tc>
          <w:tcPr>
            <w:tcW w:w="9317" w:type="dxa"/>
            <w:tcBorders/>
            <w:shd w:fill="CCEEFF" w:val="clear"/>
            <w:tcMar>
              <w:bottom w:w="0" w:type="dxa"/>
            </w:tcMar>
            <w:vAlign w:val="center"/>
          </w:tcPr>
          <w:p>
            <w:pPr>
              <w:pStyle w:val="TableContents"/>
              <w:bidi w:val="0"/>
              <w:spacing w:before="0" w:after="0"/>
              <w:jc w:val="both"/>
              <w:rPr/>
            </w:pPr>
            <w:r>
              <w:rPr/>
              <w:t>Form of Stock Option Agreement under Bargain Holdings, Inc. 2012 Equity Incentive Plan (incorporated by reference to Exhibit 10.17 to the Form S-1 Registration Statement filed by the Company on June 15, 2015 (No. 333-204942)).</w:t>
            </w:r>
          </w:p>
        </w:tc>
      </w:tr>
      <w:tr>
        <w:trPr/>
        <w:tc>
          <w:tcPr>
            <w:tcW w:w="888" w:type="dxa"/>
            <w:tcBorders/>
            <w:tcMar>
              <w:bottom w:w="0" w:type="dxa"/>
            </w:tcMar>
            <w:vAlign w:val="center"/>
          </w:tcPr>
          <w:p>
            <w:pPr>
              <w:pStyle w:val="TableContents"/>
              <w:bidi w:val="0"/>
              <w:spacing w:before="0" w:after="0"/>
              <w:jc w:val="left"/>
              <w:rPr/>
            </w:pPr>
            <w:hyperlink r:id="rId23">
              <w:r>
                <w:rPr>
                  <w:rStyle w:val="InternetLink"/>
                </w:rPr>
                <w:t>10.13†+</w:t>
              </w:r>
            </w:hyperlink>
          </w:p>
        </w:tc>
        <w:tc>
          <w:tcPr>
            <w:tcW w:w="9317" w:type="dxa"/>
            <w:tcBorders/>
            <w:tcMar>
              <w:bottom w:w="0" w:type="dxa"/>
            </w:tcMar>
            <w:vAlign w:val="center"/>
          </w:tcPr>
          <w:p>
            <w:pPr>
              <w:pStyle w:val="TableContents"/>
              <w:bidi w:val="0"/>
              <w:spacing w:before="0" w:after="0"/>
              <w:jc w:val="both"/>
              <w:rPr/>
            </w:pPr>
            <w:r>
              <w:rPr/>
              <w:t>2015 Equity Incentive Plan (incorporated by reference to Exhibit 4.1 to the Form S-8 Registration Statement filed by the Company on July 15, 2015 (No. 333-204942)).</w:t>
            </w:r>
          </w:p>
        </w:tc>
      </w:tr>
      <w:tr>
        <w:trPr/>
        <w:tc>
          <w:tcPr>
            <w:tcW w:w="888" w:type="dxa"/>
            <w:tcBorders/>
            <w:shd w:fill="CCEEFF" w:val="clear"/>
            <w:tcMar>
              <w:bottom w:w="0" w:type="dxa"/>
            </w:tcMar>
            <w:vAlign w:val="center"/>
          </w:tcPr>
          <w:p>
            <w:pPr>
              <w:pStyle w:val="TableContents"/>
              <w:bidi w:val="0"/>
              <w:spacing w:before="0" w:after="0"/>
              <w:jc w:val="left"/>
              <w:rPr/>
            </w:pPr>
            <w:hyperlink r:id="rId24">
              <w:r>
                <w:rPr>
                  <w:rStyle w:val="InternetLink"/>
                  <w:color w:val="0000FF"/>
                </w:rPr>
                <w:t>10.14†+</w:t>
              </w:r>
            </w:hyperlink>
          </w:p>
        </w:tc>
        <w:tc>
          <w:tcPr>
            <w:tcW w:w="9317" w:type="dxa"/>
            <w:tcBorders/>
            <w:shd w:fill="CCEEFF" w:val="clear"/>
            <w:tcMar>
              <w:bottom w:w="0" w:type="dxa"/>
            </w:tcMar>
            <w:vAlign w:val="center"/>
          </w:tcPr>
          <w:p>
            <w:pPr>
              <w:pStyle w:val="TableContents"/>
              <w:bidi w:val="0"/>
              <w:spacing w:before="0" w:after="0"/>
              <w:jc w:val="both"/>
              <w:rPr/>
            </w:pPr>
            <w:r>
              <w:rPr/>
              <w:t>Form of Restricted Stock Unit Award Agreement under 2015 Equity Incentive Plan. (incorporated by reference to Exhibit 10.15 to the Annual Report on Form 10-K by the Company on March 24, 2023 (No. 001-37501)).</w:t>
            </w:r>
          </w:p>
        </w:tc>
      </w:tr>
      <w:tr>
        <w:trPr/>
        <w:tc>
          <w:tcPr>
            <w:tcW w:w="888" w:type="dxa"/>
            <w:tcBorders/>
            <w:tcMar>
              <w:bottom w:w="0" w:type="dxa"/>
            </w:tcMar>
            <w:vAlign w:val="center"/>
          </w:tcPr>
          <w:p>
            <w:pPr>
              <w:pStyle w:val="TableContents"/>
              <w:bidi w:val="0"/>
              <w:spacing w:before="0" w:after="0"/>
              <w:jc w:val="left"/>
              <w:rPr/>
            </w:pPr>
            <w:hyperlink r:id="rId25">
              <w:r>
                <w:rPr>
                  <w:rStyle w:val="InternetLink"/>
                </w:rPr>
                <w:t>10.15†+</w:t>
              </w:r>
            </w:hyperlink>
          </w:p>
        </w:tc>
        <w:tc>
          <w:tcPr>
            <w:tcW w:w="9317" w:type="dxa"/>
            <w:tcBorders/>
            <w:tcMar>
              <w:bottom w:w="0" w:type="dxa"/>
            </w:tcMar>
            <w:vAlign w:val="center"/>
          </w:tcPr>
          <w:p>
            <w:pPr>
              <w:pStyle w:val="TableContents"/>
              <w:bidi w:val="0"/>
              <w:spacing w:before="0" w:after="0"/>
              <w:jc w:val="both"/>
              <w:rPr/>
            </w:pPr>
            <w:r>
              <w:rPr/>
              <w:t>Form of Stock Option Agreement under 2015 Equity Incentive Plan (incorporated by reference to Exhibit 10.23 to Amendment No. 2 to the Form S-1 Registration Statement filed by the Company on July 6, 2015 (No. 333- 204942)).</w:t>
            </w:r>
          </w:p>
        </w:tc>
      </w:tr>
      <w:tr>
        <w:trPr/>
        <w:tc>
          <w:tcPr>
            <w:tcW w:w="888" w:type="dxa"/>
            <w:tcBorders/>
            <w:shd w:fill="CCEEFF" w:val="clear"/>
            <w:tcMar>
              <w:bottom w:w="0" w:type="dxa"/>
            </w:tcMar>
            <w:vAlign w:val="center"/>
          </w:tcPr>
          <w:p>
            <w:pPr>
              <w:pStyle w:val="TableContents"/>
              <w:bidi w:val="0"/>
              <w:spacing w:before="0" w:after="0"/>
              <w:jc w:val="left"/>
              <w:rPr/>
            </w:pPr>
            <w:hyperlink r:id="rId26">
              <w:r>
                <w:rPr>
                  <w:rStyle w:val="InternetLink"/>
                </w:rPr>
                <w:t>10.16†+</w:t>
              </w:r>
            </w:hyperlink>
          </w:p>
        </w:tc>
        <w:tc>
          <w:tcPr>
            <w:tcW w:w="9317" w:type="dxa"/>
            <w:tcBorders/>
            <w:shd w:fill="CCEEFF" w:val="clear"/>
            <w:tcMar>
              <w:bottom w:w="0" w:type="dxa"/>
            </w:tcMar>
            <w:vAlign w:val="center"/>
          </w:tcPr>
          <w:p>
            <w:pPr>
              <w:pStyle w:val="TableContents"/>
              <w:bidi w:val="0"/>
              <w:spacing w:before="0" w:after="0"/>
              <w:jc w:val="both"/>
              <w:rPr/>
            </w:pPr>
            <w:r>
              <w:rPr/>
              <w:t>Amendment to Employment Agreement, dated July 15, 2015, by and between Ollie’s Bargain Outlet, Inc. and John W. Swygert, Jr (incorporated by reference to Exhibit 10.24 to the Form S-1 Registration Statement filed by the Company on February 8, 2016 (No. 333-209420)).</w:t>
            </w:r>
          </w:p>
        </w:tc>
      </w:tr>
      <w:tr>
        <w:trPr/>
        <w:tc>
          <w:tcPr>
            <w:tcW w:w="888" w:type="dxa"/>
            <w:tcBorders/>
            <w:tcMar>
              <w:bottom w:w="0" w:type="dxa"/>
            </w:tcMar>
            <w:vAlign w:val="center"/>
          </w:tcPr>
          <w:p>
            <w:pPr>
              <w:pStyle w:val="TableContents"/>
              <w:bidi w:val="0"/>
              <w:spacing w:before="0" w:after="0"/>
              <w:jc w:val="left"/>
              <w:rPr/>
            </w:pPr>
            <w:hyperlink r:id="rId27">
              <w:r>
                <w:rPr>
                  <w:rStyle w:val="InternetLink"/>
                </w:rPr>
                <w:t>10.17†+</w:t>
              </w:r>
            </w:hyperlink>
          </w:p>
        </w:tc>
        <w:tc>
          <w:tcPr>
            <w:tcW w:w="9317" w:type="dxa"/>
            <w:tcBorders/>
            <w:tcMar>
              <w:bottom w:w="0" w:type="dxa"/>
            </w:tcMar>
            <w:vAlign w:val="center"/>
          </w:tcPr>
          <w:p>
            <w:pPr>
              <w:pStyle w:val="TableContents"/>
              <w:bidi w:val="0"/>
              <w:spacing w:before="0" w:after="0"/>
              <w:jc w:val="both"/>
              <w:rPr/>
            </w:pPr>
            <w:r>
              <w:rPr/>
              <w:t>Amendment to Employment Agreement, dated July 15, 2015, by and between Ollie’s Bargain Outlet, Inc. and Kevin McLain (incorporated by reference to Exhibit 10.26 to the Form S-1 Registration Statement filed by the Company on February 8, 2016 (No. 333-209420)).</w:t>
            </w:r>
          </w:p>
        </w:tc>
      </w:tr>
      <w:tr>
        <w:trPr/>
        <w:tc>
          <w:tcPr>
            <w:tcW w:w="888" w:type="dxa"/>
            <w:tcBorders/>
            <w:shd w:fill="CCEEFF" w:val="clear"/>
            <w:tcMar>
              <w:bottom w:w="0" w:type="dxa"/>
            </w:tcMar>
            <w:vAlign w:val="center"/>
          </w:tcPr>
          <w:p>
            <w:pPr>
              <w:pStyle w:val="TableContents"/>
              <w:bidi w:val="0"/>
              <w:spacing w:before="0" w:after="0"/>
              <w:jc w:val="left"/>
              <w:rPr/>
            </w:pPr>
            <w:hyperlink r:id="rId28">
              <w:r>
                <w:rPr>
                  <w:rStyle w:val="InternetLink"/>
                </w:rPr>
                <w:t>10.18†+</w:t>
              </w:r>
            </w:hyperlink>
          </w:p>
        </w:tc>
        <w:tc>
          <w:tcPr>
            <w:tcW w:w="9317" w:type="dxa"/>
            <w:tcBorders/>
            <w:shd w:fill="CCEEFF" w:val="clear"/>
            <w:tcMar>
              <w:bottom w:w="0" w:type="dxa"/>
            </w:tcMar>
            <w:vAlign w:val="center"/>
          </w:tcPr>
          <w:p>
            <w:pPr>
              <w:pStyle w:val="TableContents"/>
              <w:bidi w:val="0"/>
              <w:spacing w:before="0" w:after="0"/>
              <w:jc w:val="both"/>
              <w:rPr/>
            </w:pPr>
            <w:r>
              <w:rPr/>
              <w:t>Amendment to Employment Agreement, dated January 5, 2018, by and between Ollie’s Bargain Outlet, Inc. and John W. Swygert, Jr. (incorporated by reference to Exhibit 10.2 to the Current Report filed on Form 8-K by the Company on January 5, 2018 (No. 001-37501)).</w:t>
            </w:r>
          </w:p>
        </w:tc>
      </w:tr>
      <w:tr>
        <w:trPr/>
        <w:tc>
          <w:tcPr>
            <w:tcW w:w="888" w:type="dxa"/>
            <w:tcBorders/>
            <w:tcMar>
              <w:bottom w:w="0" w:type="dxa"/>
            </w:tcMar>
            <w:vAlign w:val="center"/>
          </w:tcPr>
          <w:p>
            <w:pPr>
              <w:pStyle w:val="TableContents"/>
              <w:bidi w:val="0"/>
              <w:spacing w:before="0" w:after="0"/>
              <w:jc w:val="left"/>
              <w:rPr/>
            </w:pPr>
            <w:hyperlink r:id="rId29">
              <w:r>
                <w:rPr>
                  <w:rStyle w:val="InternetLink"/>
                </w:rPr>
                <w:t>10.19†+</w:t>
              </w:r>
            </w:hyperlink>
          </w:p>
        </w:tc>
        <w:tc>
          <w:tcPr>
            <w:tcW w:w="9317" w:type="dxa"/>
            <w:tcBorders/>
            <w:tcMar>
              <w:bottom w:w="0" w:type="dxa"/>
            </w:tcMar>
            <w:vAlign w:val="center"/>
          </w:tcPr>
          <w:p>
            <w:pPr>
              <w:pStyle w:val="TableContents"/>
              <w:bidi w:val="0"/>
              <w:spacing w:before="0" w:after="0"/>
              <w:jc w:val="both"/>
              <w:rPr/>
            </w:pPr>
            <w:r>
              <w:rPr/>
              <w:t>Amendment to Employment Agreement, dated December 10, 2019, by and between Ollie’s Bargain Outlet, Inc. and John W. Swygert, Jr. (incorporated by reference to Exhibit 10.1 to the Current Report filed on Form 8-K by the Company on December 10, 2019 (No. 001-37501)).</w:t>
            </w:r>
          </w:p>
        </w:tc>
      </w:tr>
      <w:tr>
        <w:trPr/>
        <w:tc>
          <w:tcPr>
            <w:tcW w:w="888" w:type="dxa"/>
            <w:tcBorders/>
            <w:shd w:fill="CCEEFF" w:val="clear"/>
            <w:tcMar>
              <w:bottom w:w="0" w:type="dxa"/>
            </w:tcMar>
            <w:vAlign w:val="center"/>
          </w:tcPr>
          <w:p>
            <w:pPr>
              <w:pStyle w:val="TableContents"/>
              <w:bidi w:val="0"/>
              <w:spacing w:before="0" w:after="0"/>
              <w:jc w:val="left"/>
              <w:rPr/>
            </w:pPr>
            <w:hyperlink r:id="rId30">
              <w:r>
                <w:rPr>
                  <w:rStyle w:val="InternetLink"/>
                </w:rPr>
                <w:t>10.20†+</w:t>
              </w:r>
            </w:hyperlink>
          </w:p>
        </w:tc>
        <w:tc>
          <w:tcPr>
            <w:tcW w:w="9317" w:type="dxa"/>
            <w:tcBorders/>
            <w:shd w:fill="CCEEFF" w:val="clear"/>
            <w:tcMar>
              <w:bottom w:w="0" w:type="dxa"/>
            </w:tcMar>
            <w:vAlign w:val="center"/>
          </w:tcPr>
          <w:p>
            <w:pPr>
              <w:pStyle w:val="TableContents"/>
              <w:bidi w:val="0"/>
              <w:spacing w:before="0" w:after="0"/>
              <w:jc w:val="both"/>
              <w:rPr/>
            </w:pPr>
            <w:r>
              <w:rPr/>
              <w:t>Amendment to Employment Agreement, dated April 11, 2021, by and between Ollie’s Bargain Outlet, Inc. and Kevin McLain (incorporated by reference to Exhibit 10.1 to the Current Report filed on Form 8-K by the Company on April 15, 2021 (No. 001-37501)).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tbl>
      <w:tblPr>
        <w:tblW w:w="10205" w:type="dxa"/>
        <w:jc w:val="left"/>
        <w:tblInd w:w="0" w:type="dxa"/>
        <w:tblLayout w:type="fixed"/>
        <w:tblCellMar>
          <w:top w:w="0" w:type="dxa"/>
          <w:left w:w="0" w:type="dxa"/>
          <w:bottom w:w="28" w:type="dxa"/>
          <w:right w:w="0" w:type="dxa"/>
        </w:tblCellMar>
      </w:tblPr>
      <w:tblGrid>
        <w:gridCol w:w="906"/>
        <w:gridCol w:w="9299"/>
      </w:tblGrid>
      <w:tr>
        <w:trPr/>
        <w:tc>
          <w:tcPr>
            <w:tcW w:w="906" w:type="dxa"/>
            <w:tcBorders>
              <w:bottom w:val="single" w:sz="12" w:space="0" w:color="000000"/>
            </w:tcBorders>
            <w:vAlign w:val="center"/>
          </w:tcPr>
          <w:p>
            <w:pPr>
              <w:pStyle w:val="TableContents"/>
              <w:bidi w:val="0"/>
              <w:spacing w:before="0" w:after="0"/>
              <w:jc w:val="left"/>
              <w:rPr>
                <w:b/>
              </w:rPr>
            </w:pPr>
            <w:r>
              <w:rPr>
                <w:b/>
              </w:rPr>
              <w:t>Exhibit no.</w:t>
            </w:r>
          </w:p>
        </w:tc>
        <w:tc>
          <w:tcPr>
            <w:tcW w:w="9299" w:type="dxa"/>
            <w:tcBorders>
              <w:bottom w:val="single" w:sz="12" w:space="0" w:color="000000"/>
            </w:tcBorders>
            <w:vAlign w:val="center"/>
          </w:tcPr>
          <w:p>
            <w:pPr>
              <w:pStyle w:val="TableContents"/>
              <w:bidi w:val="0"/>
              <w:spacing w:before="0" w:after="0"/>
              <w:jc w:val="left"/>
              <w:rPr>
                <w:b/>
              </w:rPr>
            </w:pPr>
            <w:r>
              <w:rPr>
                <w:b/>
              </w:rPr>
              <w:t>Description</w:t>
            </w:r>
          </w:p>
        </w:tc>
      </w:tr>
      <w:tr>
        <w:trPr/>
        <w:tc>
          <w:tcPr>
            <w:tcW w:w="906" w:type="dxa"/>
            <w:tcBorders/>
            <w:shd w:fill="CCEEFF" w:val="clear"/>
            <w:tcMar>
              <w:bottom w:w="0" w:type="dxa"/>
            </w:tcMar>
            <w:vAlign w:val="center"/>
          </w:tcPr>
          <w:p>
            <w:pPr>
              <w:pStyle w:val="TableContents"/>
              <w:bidi w:val="0"/>
              <w:spacing w:before="0" w:after="0"/>
              <w:jc w:val="left"/>
              <w:rPr/>
            </w:pPr>
            <w:hyperlink r:id="rId31">
              <w:r>
                <w:rPr>
                  <w:rStyle w:val="InternetLink"/>
                </w:rPr>
                <w:t>10.21†+</w:t>
              </w:r>
            </w:hyperlink>
          </w:p>
        </w:tc>
        <w:tc>
          <w:tcPr>
            <w:tcW w:w="9299" w:type="dxa"/>
            <w:tcBorders/>
            <w:shd w:fill="CCEEFF" w:val="clear"/>
            <w:tcMar>
              <w:bottom w:w="0" w:type="dxa"/>
            </w:tcMar>
            <w:vAlign w:val="center"/>
          </w:tcPr>
          <w:p>
            <w:pPr>
              <w:pStyle w:val="TableContents"/>
              <w:bidi w:val="0"/>
              <w:spacing w:before="0" w:after="0"/>
              <w:jc w:val="both"/>
              <w:rPr/>
            </w:pPr>
            <w:r>
              <w:rPr/>
              <w:t>Employment Agreement, dated August 18, 2022, by and between Ollie’s Bargain Outlet, Inc. and Lawrence Kraus (incorporated by reference to Exhibit 10.1 to the Current Report filed on Form 8-K by the Company on August 22, 2022 (No. 001-37501)).</w:t>
            </w:r>
          </w:p>
        </w:tc>
      </w:tr>
      <w:tr>
        <w:trPr/>
        <w:tc>
          <w:tcPr>
            <w:tcW w:w="906" w:type="dxa"/>
            <w:tcBorders/>
            <w:tcMar>
              <w:bottom w:w="0" w:type="dxa"/>
            </w:tcMar>
            <w:vAlign w:val="center"/>
          </w:tcPr>
          <w:p>
            <w:pPr>
              <w:pStyle w:val="TableContents"/>
              <w:bidi w:val="0"/>
              <w:spacing w:before="0" w:after="0"/>
              <w:jc w:val="left"/>
              <w:rPr/>
            </w:pPr>
            <w:hyperlink r:id="rId32">
              <w:r>
                <w:rPr>
                  <w:rStyle w:val="InternetLink"/>
                </w:rPr>
                <w:t>10.22†+</w:t>
              </w:r>
            </w:hyperlink>
          </w:p>
        </w:tc>
        <w:tc>
          <w:tcPr>
            <w:tcW w:w="9299" w:type="dxa"/>
            <w:tcBorders/>
            <w:tcMar>
              <w:bottom w:w="0" w:type="dxa"/>
            </w:tcMar>
            <w:vAlign w:val="center"/>
          </w:tcPr>
          <w:p>
            <w:pPr>
              <w:pStyle w:val="TableContents"/>
              <w:bidi w:val="0"/>
              <w:spacing w:before="0" w:after="0"/>
              <w:jc w:val="both"/>
              <w:rPr/>
            </w:pPr>
            <w:r>
              <w:rPr/>
              <w:t>Employment Agreement, effective October 17, 2022, by and between Ollie’s Bargain Outlet, Inc. and Robert F. Helm (incorporated by reference to Exhibit 10.1 to the Current Report filed on Form 8-K by the Company on October 17, 2022 (No. 001-37501)).</w:t>
            </w:r>
          </w:p>
        </w:tc>
      </w:tr>
      <w:tr>
        <w:trPr/>
        <w:tc>
          <w:tcPr>
            <w:tcW w:w="906" w:type="dxa"/>
            <w:tcBorders/>
            <w:shd w:fill="CCEEFF" w:val="clear"/>
            <w:tcMar>
              <w:bottom w:w="0" w:type="dxa"/>
            </w:tcMar>
            <w:vAlign w:val="center"/>
          </w:tcPr>
          <w:p>
            <w:pPr>
              <w:pStyle w:val="TableContents"/>
              <w:bidi w:val="0"/>
              <w:spacing w:before="0" w:after="0"/>
              <w:jc w:val="left"/>
              <w:rPr/>
            </w:pPr>
            <w:hyperlink w:anchor="ef20015294_ex21-1.htm">
              <w:r>
                <w:rPr>
                  <w:rStyle w:val="InternetLink"/>
                </w:rPr>
                <w:t>21.1*</w:t>
              </w:r>
            </w:hyperlink>
          </w:p>
        </w:tc>
        <w:tc>
          <w:tcPr>
            <w:tcW w:w="9299" w:type="dxa"/>
            <w:tcBorders/>
            <w:shd w:fill="CCEEFF" w:val="clear"/>
            <w:tcMar>
              <w:bottom w:w="0" w:type="dxa"/>
            </w:tcMar>
            <w:vAlign w:val="center"/>
          </w:tcPr>
          <w:p>
            <w:pPr>
              <w:pStyle w:val="TableContents"/>
              <w:bidi w:val="0"/>
              <w:spacing w:before="0" w:after="0"/>
              <w:jc w:val="both"/>
              <w:rPr/>
            </w:pPr>
            <w:r>
              <w:rPr/>
              <w:t>List of subsidiaries</w:t>
            </w:r>
          </w:p>
        </w:tc>
      </w:tr>
      <w:tr>
        <w:trPr/>
        <w:tc>
          <w:tcPr>
            <w:tcW w:w="906" w:type="dxa"/>
            <w:tcBorders/>
            <w:tcMar>
              <w:bottom w:w="0" w:type="dxa"/>
            </w:tcMar>
            <w:vAlign w:val="center"/>
          </w:tcPr>
          <w:p>
            <w:pPr>
              <w:pStyle w:val="TableContents"/>
              <w:bidi w:val="0"/>
              <w:spacing w:before="0" w:after="0"/>
              <w:jc w:val="left"/>
              <w:rPr/>
            </w:pPr>
            <w:hyperlink w:anchor="ef20015294_ex23-1.htm">
              <w:r>
                <w:rPr>
                  <w:rStyle w:val="InternetLink"/>
                </w:rPr>
                <w:t>23.1</w:t>
              </w:r>
            </w:hyperlink>
            <w:r>
              <w:rPr/>
              <w:t>*</w:t>
            </w:r>
          </w:p>
        </w:tc>
        <w:tc>
          <w:tcPr>
            <w:tcW w:w="9299" w:type="dxa"/>
            <w:tcBorders/>
            <w:tcMar>
              <w:bottom w:w="0" w:type="dxa"/>
            </w:tcMar>
            <w:vAlign w:val="center"/>
          </w:tcPr>
          <w:p>
            <w:pPr>
              <w:pStyle w:val="TableContents"/>
              <w:bidi w:val="0"/>
              <w:spacing w:before="0" w:after="0"/>
              <w:jc w:val="both"/>
              <w:rPr/>
            </w:pPr>
            <w:r>
              <w:rPr/>
              <w:t>Consent of KPMG LLP</w:t>
            </w:r>
          </w:p>
        </w:tc>
      </w:tr>
      <w:tr>
        <w:trPr/>
        <w:tc>
          <w:tcPr>
            <w:tcW w:w="906" w:type="dxa"/>
            <w:tcBorders/>
            <w:shd w:fill="CCEEFF" w:val="clear"/>
            <w:tcMar>
              <w:bottom w:w="0" w:type="dxa"/>
            </w:tcMar>
            <w:vAlign w:val="center"/>
          </w:tcPr>
          <w:p>
            <w:pPr>
              <w:pStyle w:val="TableContents"/>
              <w:bidi w:val="0"/>
              <w:spacing w:before="0" w:after="0"/>
              <w:jc w:val="left"/>
              <w:rPr/>
            </w:pPr>
            <w:hyperlink w:anchor="POWER">
              <w:r>
                <w:rPr>
                  <w:rStyle w:val="InternetLink"/>
                </w:rPr>
                <w:t>24.1</w:t>
              </w:r>
            </w:hyperlink>
            <w:r>
              <w:rPr/>
              <w:t xml:space="preserve"> *</w:t>
            </w:r>
          </w:p>
        </w:tc>
        <w:tc>
          <w:tcPr>
            <w:tcW w:w="9299" w:type="dxa"/>
            <w:tcBorders/>
            <w:shd w:fill="CCEEFF" w:val="clear"/>
            <w:tcMar>
              <w:bottom w:w="0" w:type="dxa"/>
            </w:tcMar>
            <w:vAlign w:val="center"/>
          </w:tcPr>
          <w:p>
            <w:pPr>
              <w:pStyle w:val="TableContents"/>
              <w:bidi w:val="0"/>
              <w:spacing w:before="0" w:after="0"/>
              <w:jc w:val="both"/>
              <w:rPr/>
            </w:pPr>
            <w:r>
              <w:rPr/>
              <w:t>Power of Attorney (included on the signature pages herein).</w:t>
            </w:r>
          </w:p>
        </w:tc>
      </w:tr>
      <w:tr>
        <w:trPr/>
        <w:tc>
          <w:tcPr>
            <w:tcW w:w="906" w:type="dxa"/>
            <w:tcBorders/>
            <w:tcMar>
              <w:bottom w:w="0" w:type="dxa"/>
            </w:tcMar>
            <w:vAlign w:val="center"/>
          </w:tcPr>
          <w:p>
            <w:pPr>
              <w:pStyle w:val="TableContents"/>
              <w:bidi w:val="0"/>
              <w:spacing w:before="0" w:after="0"/>
              <w:jc w:val="left"/>
              <w:rPr/>
            </w:pPr>
            <w:hyperlink w:anchor="ef20015294_ex31-1.htm">
              <w:r>
                <w:rPr>
                  <w:rStyle w:val="InternetLink"/>
                </w:rPr>
                <w:t>31.1 *</w:t>
              </w:r>
            </w:hyperlink>
          </w:p>
        </w:tc>
        <w:tc>
          <w:tcPr>
            <w:tcW w:w="9299" w:type="dxa"/>
            <w:tcBorders/>
            <w:tcMar>
              <w:bottom w:w="0" w:type="dxa"/>
            </w:tcMar>
            <w:vAlign w:val="center"/>
          </w:tcPr>
          <w:p>
            <w:pPr>
              <w:pStyle w:val="TableContents"/>
              <w:bidi w:val="0"/>
              <w:spacing w:before="0" w:after="0"/>
              <w:jc w:val="both"/>
              <w:rPr/>
            </w:pPr>
            <w:r>
              <w:rPr/>
              <w:t>Certification of Chief Executive Officer pursuant to Rule 13a-14(a) or 15d-14(a) of the Securities Exchange Act of 1934, as amended, as adopted pursuant to Section 302 of the Sarbanes-Oxley Act of 2002.</w:t>
            </w:r>
          </w:p>
          <w:p>
            <w:pPr>
              <w:pStyle w:val="TableContents"/>
              <w:bidi w:val="0"/>
              <w:spacing w:before="0" w:after="0"/>
              <w:jc w:val="left"/>
              <w:rPr/>
            </w:pPr>
            <w:r>
              <w:rPr/>
              <w:t> </w:t>
            </w:r>
          </w:p>
        </w:tc>
      </w:tr>
      <w:tr>
        <w:trPr/>
        <w:tc>
          <w:tcPr>
            <w:tcW w:w="906" w:type="dxa"/>
            <w:tcBorders/>
            <w:shd w:fill="CCEEFF" w:val="clear"/>
            <w:tcMar>
              <w:bottom w:w="0" w:type="dxa"/>
            </w:tcMar>
            <w:vAlign w:val="center"/>
          </w:tcPr>
          <w:p>
            <w:pPr>
              <w:pStyle w:val="TableContents"/>
              <w:bidi w:val="0"/>
              <w:spacing w:before="0" w:after="0"/>
              <w:jc w:val="left"/>
              <w:rPr/>
            </w:pPr>
            <w:hyperlink w:anchor="ef20015294_ex31-2.htm">
              <w:r>
                <w:rPr>
                  <w:rStyle w:val="InternetLink"/>
                </w:rPr>
                <w:t>31.2 *</w:t>
              </w:r>
            </w:hyperlink>
          </w:p>
        </w:tc>
        <w:tc>
          <w:tcPr>
            <w:tcW w:w="9299" w:type="dxa"/>
            <w:tcBorders/>
            <w:shd w:fill="CCEEFF" w:val="clear"/>
            <w:tcMar>
              <w:bottom w:w="0" w:type="dxa"/>
            </w:tcMar>
            <w:vAlign w:val="center"/>
          </w:tcPr>
          <w:p>
            <w:pPr>
              <w:pStyle w:val="TableContents"/>
              <w:bidi w:val="0"/>
              <w:spacing w:before="0" w:after="0"/>
              <w:jc w:val="both"/>
              <w:rPr/>
            </w:pPr>
            <w:r>
              <w:rPr/>
              <w:t>Certification of Chief Financial Officer pursuant to Rule 13a-14(a) or 15d-14(a) of the Securities Exchange Act of 1934, as amended, as adopted pursuant to Section 302 of the Sarbanes-Oxley Act of 2002.</w:t>
            </w:r>
          </w:p>
          <w:p>
            <w:pPr>
              <w:pStyle w:val="TableContents"/>
              <w:bidi w:val="0"/>
              <w:spacing w:before="0" w:after="0"/>
              <w:jc w:val="left"/>
              <w:rPr/>
            </w:pPr>
            <w:r>
              <w:rPr/>
              <w:t> </w:t>
            </w:r>
          </w:p>
        </w:tc>
      </w:tr>
      <w:tr>
        <w:trPr/>
        <w:tc>
          <w:tcPr>
            <w:tcW w:w="906" w:type="dxa"/>
            <w:tcBorders/>
            <w:tcMar>
              <w:bottom w:w="0" w:type="dxa"/>
            </w:tcMar>
            <w:vAlign w:val="center"/>
          </w:tcPr>
          <w:p>
            <w:pPr>
              <w:pStyle w:val="TableContents"/>
              <w:bidi w:val="0"/>
              <w:spacing w:before="0" w:after="0"/>
              <w:jc w:val="left"/>
              <w:rPr/>
            </w:pPr>
            <w:hyperlink w:anchor="ef20015294_ex32-1.htm">
              <w:r>
                <w:rPr>
                  <w:rStyle w:val="InternetLink"/>
                </w:rPr>
                <w:t>32.1 *</w:t>
              </w:r>
            </w:hyperlink>
          </w:p>
        </w:tc>
        <w:tc>
          <w:tcPr>
            <w:tcW w:w="9299" w:type="dxa"/>
            <w:tcBorders/>
            <w:tcMar>
              <w:bottom w:w="0" w:type="dxa"/>
            </w:tcMar>
            <w:vAlign w:val="center"/>
          </w:tcPr>
          <w:p>
            <w:pPr>
              <w:pStyle w:val="TableContents"/>
              <w:bidi w:val="0"/>
              <w:spacing w:before="0" w:after="0"/>
              <w:jc w:val="both"/>
              <w:rPr>
                <w:color w:val="000000"/>
              </w:rPr>
            </w:pPr>
            <w:r>
              <w:rPr>
                <w:color w:val="000000"/>
              </w:rPr>
              <w:t>Certification of Chief Executive Officer Pursuant to 18 U.S.C. Section 1350 as adopted pursuant to Section 906 of the Sarbanes-Oxley Act of 2002.</w:t>
            </w:r>
          </w:p>
        </w:tc>
      </w:tr>
      <w:tr>
        <w:trPr/>
        <w:tc>
          <w:tcPr>
            <w:tcW w:w="906" w:type="dxa"/>
            <w:tcBorders/>
            <w:shd w:fill="CCEEFF" w:val="clear"/>
            <w:tcMar>
              <w:bottom w:w="0" w:type="dxa"/>
            </w:tcMar>
            <w:vAlign w:val="center"/>
          </w:tcPr>
          <w:p>
            <w:pPr>
              <w:pStyle w:val="TableContents"/>
              <w:bidi w:val="0"/>
              <w:spacing w:before="0" w:after="0"/>
              <w:jc w:val="left"/>
              <w:rPr/>
            </w:pPr>
            <w:hyperlink w:anchor="ef20015294_ex32-2.htm">
              <w:r>
                <w:rPr>
                  <w:rStyle w:val="InternetLink"/>
                </w:rPr>
                <w:t>32.2*</w:t>
              </w:r>
            </w:hyperlink>
          </w:p>
        </w:tc>
        <w:tc>
          <w:tcPr>
            <w:tcW w:w="9299" w:type="dxa"/>
            <w:tcBorders/>
            <w:shd w:fill="CCEEFF" w:val="clear"/>
            <w:tcMar>
              <w:bottom w:w="0" w:type="dxa"/>
            </w:tcMar>
            <w:vAlign w:val="center"/>
          </w:tcPr>
          <w:p>
            <w:pPr>
              <w:pStyle w:val="TableContents"/>
              <w:bidi w:val="0"/>
              <w:spacing w:before="0" w:after="0"/>
              <w:jc w:val="both"/>
              <w:rPr>
                <w:color w:val="000000"/>
              </w:rPr>
            </w:pPr>
            <w:r>
              <w:rPr>
                <w:color w:val="000000"/>
              </w:rPr>
              <w:t>Certification of Chief Financial Officer Pursuant to 18 U.S.C. Section 1350 as adopted pursuant to Section 906 of the Sarbanes-Oxley Act of 2002.</w:t>
            </w:r>
          </w:p>
        </w:tc>
      </w:tr>
      <w:tr>
        <w:trPr/>
        <w:tc>
          <w:tcPr>
            <w:tcW w:w="906" w:type="dxa"/>
            <w:tcBorders/>
            <w:tcMar>
              <w:bottom w:w="0" w:type="dxa"/>
            </w:tcMar>
            <w:vAlign w:val="center"/>
          </w:tcPr>
          <w:p>
            <w:pPr>
              <w:pStyle w:val="TableContents"/>
              <w:bidi w:val="0"/>
              <w:spacing w:before="0" w:after="0"/>
              <w:jc w:val="left"/>
              <w:rPr/>
            </w:pPr>
            <w:hyperlink w:anchor="ef20015294_ex97.htm">
              <w:r>
                <w:rPr>
                  <w:rStyle w:val="InternetLink"/>
                </w:rPr>
                <w:t>97*</w:t>
              </w:r>
            </w:hyperlink>
          </w:p>
        </w:tc>
        <w:tc>
          <w:tcPr>
            <w:tcW w:w="9299" w:type="dxa"/>
            <w:tcBorders/>
            <w:tcMar>
              <w:bottom w:w="0" w:type="dxa"/>
            </w:tcMar>
            <w:vAlign w:val="center"/>
          </w:tcPr>
          <w:p>
            <w:pPr>
              <w:pStyle w:val="TableContents"/>
              <w:bidi w:val="0"/>
              <w:spacing w:before="0" w:after="0"/>
              <w:jc w:val="both"/>
              <w:rPr>
                <w:color w:val="000000"/>
              </w:rPr>
            </w:pPr>
            <w:r>
              <w:rPr>
                <w:color w:val="000000"/>
              </w:rPr>
              <w:t>Ollie’s Bargain Outlet Holdings, Inc. Policy for Recoupment of Incentive Compensation</w:t>
            </w:r>
          </w:p>
        </w:tc>
      </w:tr>
      <w:tr>
        <w:trPr/>
        <w:tc>
          <w:tcPr>
            <w:tcW w:w="906" w:type="dxa"/>
            <w:tcBorders/>
            <w:shd w:fill="CCEEFF" w:val="clear"/>
            <w:tcMar>
              <w:bottom w:w="0" w:type="dxa"/>
            </w:tcMar>
            <w:vAlign w:val="center"/>
          </w:tcPr>
          <w:p>
            <w:pPr>
              <w:pStyle w:val="TableContents"/>
              <w:bidi w:val="0"/>
              <w:spacing w:before="0" w:after="0"/>
              <w:jc w:val="left"/>
              <w:rPr/>
            </w:pPr>
            <w:r>
              <w:rPr/>
              <w:t>101.INS**</w:t>
            </w:r>
          </w:p>
        </w:tc>
        <w:tc>
          <w:tcPr>
            <w:tcW w:w="9299" w:type="dxa"/>
            <w:tcBorders/>
            <w:shd w:fill="CCEEFF" w:val="clear"/>
            <w:tcMar>
              <w:bottom w:w="0" w:type="dxa"/>
            </w:tcMar>
            <w:vAlign w:val="center"/>
          </w:tcPr>
          <w:p>
            <w:pPr>
              <w:pStyle w:val="TableContents"/>
              <w:bidi w:val="0"/>
              <w:spacing w:before="0" w:after="0"/>
              <w:jc w:val="both"/>
              <w:rPr/>
            </w:pPr>
            <w:r>
              <w:rPr/>
              <w:t>Inline XBRL Instance Document (the instance document does not appear in the Interactive Data File because its XBRL tags are embedded within the Inline XBRL document).</w:t>
            </w:r>
          </w:p>
        </w:tc>
      </w:tr>
      <w:tr>
        <w:trPr/>
        <w:tc>
          <w:tcPr>
            <w:tcW w:w="906" w:type="dxa"/>
            <w:tcBorders/>
            <w:tcMar>
              <w:bottom w:w="0" w:type="dxa"/>
            </w:tcMar>
            <w:vAlign w:val="center"/>
          </w:tcPr>
          <w:p>
            <w:pPr>
              <w:pStyle w:val="TableContents"/>
              <w:bidi w:val="0"/>
              <w:spacing w:before="0" w:after="0"/>
              <w:jc w:val="left"/>
              <w:rPr/>
            </w:pPr>
            <w:r>
              <w:rPr/>
              <w:t>101.SCH**</w:t>
            </w:r>
          </w:p>
        </w:tc>
        <w:tc>
          <w:tcPr>
            <w:tcW w:w="9299" w:type="dxa"/>
            <w:tcBorders/>
            <w:tcMar>
              <w:bottom w:w="0" w:type="dxa"/>
            </w:tcMar>
            <w:vAlign w:val="center"/>
          </w:tcPr>
          <w:p>
            <w:pPr>
              <w:pStyle w:val="TableContents"/>
              <w:bidi w:val="0"/>
              <w:spacing w:before="0" w:after="0"/>
              <w:jc w:val="both"/>
              <w:rPr/>
            </w:pPr>
            <w:r>
              <w:rPr/>
              <w:t>Inline XBRL Taxonomy Extension Schema Document.</w:t>
            </w:r>
          </w:p>
        </w:tc>
      </w:tr>
      <w:tr>
        <w:trPr/>
        <w:tc>
          <w:tcPr>
            <w:tcW w:w="906" w:type="dxa"/>
            <w:tcBorders/>
            <w:shd w:fill="CCEEFF" w:val="clear"/>
            <w:tcMar>
              <w:bottom w:w="0" w:type="dxa"/>
            </w:tcMar>
            <w:vAlign w:val="center"/>
          </w:tcPr>
          <w:p>
            <w:pPr>
              <w:pStyle w:val="TableContents"/>
              <w:bidi w:val="0"/>
              <w:spacing w:before="0" w:after="0"/>
              <w:jc w:val="left"/>
              <w:rPr/>
            </w:pPr>
            <w:r>
              <w:rPr/>
              <w:t>101.CAL**</w:t>
            </w:r>
          </w:p>
        </w:tc>
        <w:tc>
          <w:tcPr>
            <w:tcW w:w="9299" w:type="dxa"/>
            <w:tcBorders/>
            <w:shd w:fill="CCEEFF" w:val="clear"/>
            <w:tcMar>
              <w:bottom w:w="0" w:type="dxa"/>
            </w:tcMar>
            <w:vAlign w:val="center"/>
          </w:tcPr>
          <w:p>
            <w:pPr>
              <w:pStyle w:val="TableContents"/>
              <w:bidi w:val="0"/>
              <w:spacing w:before="0" w:after="0"/>
              <w:jc w:val="both"/>
              <w:rPr/>
            </w:pPr>
            <w:r>
              <w:rPr/>
              <w:t>Inline XBRL Taxonomy Extension Calculation Linkbase Document.</w:t>
            </w:r>
          </w:p>
        </w:tc>
      </w:tr>
      <w:tr>
        <w:trPr/>
        <w:tc>
          <w:tcPr>
            <w:tcW w:w="906" w:type="dxa"/>
            <w:tcBorders/>
            <w:tcMar>
              <w:bottom w:w="0" w:type="dxa"/>
            </w:tcMar>
            <w:vAlign w:val="center"/>
          </w:tcPr>
          <w:p>
            <w:pPr>
              <w:pStyle w:val="TableContents"/>
              <w:bidi w:val="0"/>
              <w:spacing w:before="0" w:after="0"/>
              <w:jc w:val="left"/>
              <w:rPr/>
            </w:pPr>
            <w:r>
              <w:rPr/>
              <w:t>101.DEF**</w:t>
            </w:r>
          </w:p>
        </w:tc>
        <w:tc>
          <w:tcPr>
            <w:tcW w:w="9299" w:type="dxa"/>
            <w:tcBorders/>
            <w:tcMar>
              <w:bottom w:w="0" w:type="dxa"/>
            </w:tcMar>
            <w:vAlign w:val="center"/>
          </w:tcPr>
          <w:p>
            <w:pPr>
              <w:pStyle w:val="TableContents"/>
              <w:bidi w:val="0"/>
              <w:spacing w:before="0" w:after="0"/>
              <w:jc w:val="both"/>
              <w:rPr/>
            </w:pPr>
            <w:r>
              <w:rPr/>
              <w:t>Inline XBRL Taxonomy Extension Definition Linkbase Document.</w:t>
            </w:r>
          </w:p>
        </w:tc>
      </w:tr>
      <w:tr>
        <w:trPr/>
        <w:tc>
          <w:tcPr>
            <w:tcW w:w="906" w:type="dxa"/>
            <w:tcBorders/>
            <w:shd w:fill="CCEEFF" w:val="clear"/>
            <w:tcMar>
              <w:bottom w:w="0" w:type="dxa"/>
            </w:tcMar>
            <w:vAlign w:val="center"/>
          </w:tcPr>
          <w:p>
            <w:pPr>
              <w:pStyle w:val="TableContents"/>
              <w:bidi w:val="0"/>
              <w:spacing w:before="0" w:after="0"/>
              <w:jc w:val="left"/>
              <w:rPr/>
            </w:pPr>
            <w:r>
              <w:rPr/>
              <w:t>101.LAB**</w:t>
            </w:r>
          </w:p>
        </w:tc>
        <w:tc>
          <w:tcPr>
            <w:tcW w:w="9299" w:type="dxa"/>
            <w:tcBorders/>
            <w:shd w:fill="CCEEFF" w:val="clear"/>
            <w:tcMar>
              <w:bottom w:w="0" w:type="dxa"/>
            </w:tcMar>
            <w:vAlign w:val="center"/>
          </w:tcPr>
          <w:p>
            <w:pPr>
              <w:pStyle w:val="TableContents"/>
              <w:bidi w:val="0"/>
              <w:spacing w:before="0" w:after="0"/>
              <w:jc w:val="both"/>
              <w:rPr/>
            </w:pPr>
            <w:r>
              <w:rPr/>
              <w:t>Inline XBRL Taxonomy Extension Label Linkbase Document.</w:t>
            </w:r>
          </w:p>
        </w:tc>
      </w:tr>
      <w:tr>
        <w:trPr/>
        <w:tc>
          <w:tcPr>
            <w:tcW w:w="906" w:type="dxa"/>
            <w:tcBorders/>
            <w:tcMar>
              <w:bottom w:w="0" w:type="dxa"/>
            </w:tcMar>
            <w:vAlign w:val="center"/>
          </w:tcPr>
          <w:p>
            <w:pPr>
              <w:pStyle w:val="TableContents"/>
              <w:bidi w:val="0"/>
              <w:spacing w:before="0" w:after="0"/>
              <w:jc w:val="left"/>
              <w:rPr/>
            </w:pPr>
            <w:r>
              <w:rPr/>
              <w:t>101.PRE**</w:t>
            </w:r>
          </w:p>
        </w:tc>
        <w:tc>
          <w:tcPr>
            <w:tcW w:w="9299" w:type="dxa"/>
            <w:tcBorders/>
            <w:tcMar>
              <w:bottom w:w="0" w:type="dxa"/>
            </w:tcMar>
            <w:vAlign w:val="center"/>
          </w:tcPr>
          <w:p>
            <w:pPr>
              <w:pStyle w:val="TableContents"/>
              <w:bidi w:val="0"/>
              <w:spacing w:before="0" w:after="0"/>
              <w:jc w:val="both"/>
              <w:rPr/>
            </w:pPr>
            <w:r>
              <w:rPr/>
              <w:t>Inline XBRL Taxonomy Extension Presentation Linkbase Document.</w:t>
            </w:r>
          </w:p>
        </w:tc>
      </w:tr>
      <w:tr>
        <w:trPr/>
        <w:tc>
          <w:tcPr>
            <w:tcW w:w="906" w:type="dxa"/>
            <w:tcBorders/>
            <w:shd w:fill="CCEEFF" w:val="clear"/>
            <w:tcMar>
              <w:bottom w:w="0" w:type="dxa"/>
            </w:tcMar>
            <w:vAlign w:val="center"/>
          </w:tcPr>
          <w:p>
            <w:pPr>
              <w:pStyle w:val="TableContents"/>
              <w:bidi w:val="0"/>
              <w:spacing w:before="0" w:after="0"/>
              <w:jc w:val="left"/>
              <w:rPr/>
            </w:pPr>
            <w:r>
              <w:rPr/>
              <w:t>104</w:t>
            </w:r>
          </w:p>
        </w:tc>
        <w:tc>
          <w:tcPr>
            <w:tcW w:w="9299" w:type="dxa"/>
            <w:tcBorders/>
            <w:shd w:fill="CCEEFF" w:val="clear"/>
            <w:tcMar>
              <w:bottom w:w="0" w:type="dxa"/>
            </w:tcMar>
            <w:vAlign w:val="center"/>
          </w:tcPr>
          <w:p>
            <w:pPr>
              <w:pStyle w:val="TableContents"/>
              <w:bidi w:val="0"/>
              <w:spacing w:before="0" w:after="0"/>
              <w:jc w:val="both"/>
              <w:rPr/>
            </w:pPr>
            <w:r>
              <w:rPr/>
              <w:t>Cover Page Interactive Data File (formatted as inline XBRL and contained in Exhibit 101).</w:t>
            </w:r>
          </w:p>
        </w:tc>
      </w:tr>
    </w:tbl>
    <w:p>
      <w:pPr>
        <w:pStyle w:val="TextBody"/>
        <w:bidi w:val="0"/>
        <w:spacing w:before="0" w:after="0"/>
        <w:jc w:val="left"/>
        <w:rPr>
          <w:color w:val="000000"/>
          <w:shd w:fill="FFFFFF" w:val="clear"/>
        </w:rPr>
      </w:pPr>
      <w:r>
        <w:rPr>
          <w:color w:val="000000"/>
          <w:shd w:fill="FFFFFF" w:val="clear"/>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0"/>
              <w:jc w:val="left"/>
              <w:rPr/>
            </w:pPr>
            <w:r>
              <w:rPr/>
              <w:t>Filed herewith.</w:t>
            </w:r>
          </w:p>
        </w:tc>
      </w:tr>
    </w:tbl>
    <w:tbl>
      <w:tblPr>
        <w:tblW w:w="1735" w:type="dxa"/>
        <w:jc w:val="left"/>
        <w:tblInd w:w="0" w:type="dxa"/>
        <w:tblLayout w:type="fixed"/>
        <w:tblCellMar>
          <w:top w:w="0" w:type="dxa"/>
          <w:left w:w="0" w:type="dxa"/>
          <w:bottom w:w="0" w:type="dxa"/>
          <w:right w:w="0" w:type="dxa"/>
        </w:tblCellMar>
      </w:tblPr>
      <w:tblGrid>
        <w:gridCol w:w="155"/>
        <w:gridCol w:w="1580"/>
      </w:tblGrid>
      <w:tr>
        <w:trPr/>
        <w:tc>
          <w:tcPr>
            <w:tcW w:w="15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0"/>
              <w:jc w:val="left"/>
              <w:rPr/>
            </w:pPr>
            <w:r>
              <w:rPr/>
              <w:t>Previously filed.</w:t>
            </w:r>
          </w:p>
        </w:tc>
      </w:tr>
    </w:tbl>
    <w:tbl>
      <w:tblPr>
        <w:tblW w:w="4135" w:type="dxa"/>
        <w:jc w:val="left"/>
        <w:tblInd w:w="0" w:type="dxa"/>
        <w:tblLayout w:type="fixed"/>
        <w:tblCellMar>
          <w:top w:w="0" w:type="dxa"/>
          <w:left w:w="0" w:type="dxa"/>
          <w:bottom w:w="0" w:type="dxa"/>
          <w:right w:w="0" w:type="dxa"/>
        </w:tblCellMar>
      </w:tblPr>
      <w:tblGrid>
        <w:gridCol w:w="275"/>
        <w:gridCol w:w="3860"/>
      </w:tblGrid>
      <w:tr>
        <w:trPr/>
        <w:tc>
          <w:tcPr>
            <w:tcW w:w="275"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0"/>
              <w:jc w:val="left"/>
              <w:rPr/>
            </w:pPr>
            <w:r>
              <w:rPr/>
              <w:t>Submitted electronically with this report.</w:t>
            </w:r>
          </w:p>
        </w:tc>
      </w:tr>
    </w:tbl>
    <w:tbl>
      <w:tblPr>
        <w:tblW w:w="5275" w:type="dxa"/>
        <w:jc w:val="left"/>
        <w:tblInd w:w="0" w:type="dxa"/>
        <w:tblLayout w:type="fixed"/>
        <w:tblCellMar>
          <w:top w:w="0" w:type="dxa"/>
          <w:left w:w="0" w:type="dxa"/>
          <w:bottom w:w="0" w:type="dxa"/>
          <w:right w:w="0" w:type="dxa"/>
        </w:tblCellMar>
      </w:tblPr>
      <w:tblGrid>
        <w:gridCol w:w="170"/>
        <w:gridCol w:w="5105"/>
      </w:tblGrid>
      <w:tr>
        <w:trPr/>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0"/>
              <w:jc w:val="left"/>
              <w:rPr/>
            </w:pPr>
            <w:r>
              <w:rPr/>
              <w:t>Indicates management contract or compensatory plan.</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9" w:name="Form10-KSummary"/>
      <w:bookmarkStart w:id="60" w:name="Form10-KSummary"/>
      <w:bookmarkEnd w:id="60"/>
    </w:p>
    <w:tbl>
      <w:tblPr>
        <w:tblW w:w="2995" w:type="dxa"/>
        <w:jc w:val="left"/>
        <w:tblInd w:w="0" w:type="dxa"/>
        <w:tblLayout w:type="fixed"/>
        <w:tblCellMar>
          <w:top w:w="0" w:type="dxa"/>
          <w:left w:w="0" w:type="dxa"/>
          <w:bottom w:w="0" w:type="dxa"/>
          <w:right w:w="0" w:type="dxa"/>
        </w:tblCellMar>
      </w:tblPr>
      <w:tblGrid>
        <w:gridCol w:w="860"/>
        <w:gridCol w:w="2135"/>
      </w:tblGrid>
      <w:tr>
        <w:trPr/>
        <w:tc>
          <w:tcPr>
            <w:tcW w:w="860" w:type="dxa"/>
            <w:tcBorders/>
            <w:vAlign w:val="center"/>
          </w:tcPr>
          <w:p>
            <w:pPr>
              <w:pStyle w:val="TableContents"/>
              <w:bidi w:val="0"/>
              <w:spacing w:before="0" w:after="283"/>
              <w:jc w:val="left"/>
              <w:rPr>
                <w:b/>
              </w:rPr>
            </w:pPr>
            <w:r>
              <w:rPr>
                <w:b/>
              </w:rPr>
              <w:t>Item 16.</w:t>
            </w:r>
          </w:p>
        </w:tc>
        <w:tc>
          <w:tcPr>
            <w:tcW w:w="2135" w:type="dxa"/>
            <w:tcBorders/>
            <w:vAlign w:val="center"/>
          </w:tcPr>
          <w:p>
            <w:pPr>
              <w:pStyle w:val="TableContents"/>
              <w:bidi w:val="0"/>
              <w:spacing w:before="0" w:after="0"/>
              <w:jc w:val="both"/>
              <w:rPr>
                <w:b/>
                <w:i/>
              </w:rPr>
            </w:pPr>
            <w:r>
              <w:rPr>
                <w:b/>
                <w:i/>
              </w:rPr>
              <w:t>Form 10-K Summary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0" w:after="0"/>
        <w:jc w:val="left"/>
        <w:rPr>
          <w:color w:val="000000"/>
          <w:shd w:fill="FFFFFF" w:val="clear"/>
        </w:rPr>
      </w:pPr>
      <w:r>
        <w:rPr>
          <w:color w:val="000000"/>
          <w:shd w:fill="FFFFFF" w:val="clear"/>
        </w:rPr>
        <w:t> </w:t>
      </w:r>
    </w:p>
    <w:tbl>
      <w:tblPr>
        <w:tblW w:w="7875" w:type="dxa"/>
        <w:jc w:val="left"/>
        <w:tblInd w:w="0" w:type="dxa"/>
        <w:tblLayout w:type="fixed"/>
        <w:tblCellMar>
          <w:top w:w="0" w:type="dxa"/>
          <w:left w:w="0" w:type="dxa"/>
          <w:bottom w:w="0" w:type="dxa"/>
          <w:right w:w="0" w:type="dxa"/>
        </w:tblCellMar>
      </w:tblPr>
      <w:tblGrid>
        <w:gridCol w:w="2165"/>
        <w:gridCol w:w="425"/>
        <w:gridCol w:w="5285"/>
      </w:tblGrid>
      <w:tr>
        <w:trPr/>
        <w:tc>
          <w:tcPr>
            <w:tcW w:w="2165" w:type="dxa"/>
            <w:tcBorders/>
            <w:vAlign w:val="center"/>
          </w:tcPr>
          <w:p>
            <w:pPr>
              <w:pStyle w:val="TableContents"/>
              <w:bidi w:val="0"/>
              <w:spacing w:before="0" w:after="283"/>
              <w:jc w:val="left"/>
              <w:rPr/>
            </w:pPr>
            <w:r>
              <w:rPr/>
              <w:t> </w:t>
            </w:r>
          </w:p>
        </w:tc>
        <w:tc>
          <w:tcPr>
            <w:tcW w:w="5710" w:type="dxa"/>
            <w:gridSpan w:val="2"/>
            <w:tcBorders/>
            <w:vAlign w:val="center"/>
          </w:tcPr>
          <w:p>
            <w:pPr>
              <w:pStyle w:val="TableContents"/>
              <w:bidi w:val="0"/>
              <w:spacing w:before="0" w:after="0"/>
              <w:jc w:val="left"/>
              <w:rPr>
                <w:b/>
              </w:rPr>
            </w:pPr>
            <w:r>
              <w:rPr>
                <w:b/>
              </w:rPr>
              <w:t>OLLIE’S BARGAIN OUTLET HOLDINGS, INC.</w:t>
            </w:r>
          </w:p>
        </w:tc>
      </w:tr>
      <w:tr>
        <w:trPr/>
        <w:tc>
          <w:tcPr>
            <w:tcW w:w="2165" w:type="dxa"/>
            <w:tcBorders/>
            <w:vAlign w:val="center"/>
          </w:tcPr>
          <w:p>
            <w:pPr>
              <w:pStyle w:val="TableContents"/>
              <w:bidi w:val="0"/>
              <w:spacing w:before="0" w:after="0"/>
              <w:jc w:val="left"/>
              <w:rPr/>
            </w:pPr>
            <w:r>
              <w:rPr/>
              <w:t>Date:  March 27, 2024</w:t>
            </w:r>
          </w:p>
        </w:tc>
        <w:tc>
          <w:tcPr>
            <w:tcW w:w="425" w:type="dxa"/>
            <w:tcBorders/>
            <w:vAlign w:val="center"/>
          </w:tcPr>
          <w:p>
            <w:pPr>
              <w:pStyle w:val="TableContents"/>
              <w:bidi w:val="0"/>
              <w:spacing w:before="0" w:after="0"/>
              <w:jc w:val="left"/>
              <w:rPr/>
            </w:pPr>
            <w:r>
              <w:rPr/>
              <w:t> </w:t>
            </w:r>
            <w:r>
              <w:rPr/>
              <w:t>By:</w:t>
            </w:r>
          </w:p>
        </w:tc>
        <w:tc>
          <w:tcPr>
            <w:tcW w:w="5285" w:type="dxa"/>
            <w:tcBorders>
              <w:bottom w:val="single" w:sz="12" w:space="0" w:color="000000"/>
            </w:tcBorders>
            <w:tcMar>
              <w:bottom w:w="28" w:type="dxa"/>
            </w:tcMar>
            <w:vAlign w:val="center"/>
          </w:tcPr>
          <w:p>
            <w:pPr>
              <w:pStyle w:val="TableContents"/>
              <w:bidi w:val="0"/>
              <w:spacing w:before="0" w:after="0"/>
              <w:jc w:val="left"/>
              <w:rPr/>
            </w:pPr>
            <w:r>
              <w:rPr/>
              <w:t>/s/ Robert Helm</w:t>
            </w:r>
          </w:p>
        </w:tc>
      </w:tr>
      <w:tr>
        <w:trPr/>
        <w:tc>
          <w:tcPr>
            <w:tcW w:w="216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left"/>
              <w:rPr/>
            </w:pPr>
            <w:r>
              <w:rPr/>
              <w:t>Name: Robert Helm</w:t>
            </w:r>
          </w:p>
          <w:p>
            <w:pPr>
              <w:pStyle w:val="TableContents"/>
              <w:bidi w:val="0"/>
              <w:spacing w:before="0" w:after="0"/>
              <w:jc w:val="left"/>
              <w:rPr/>
            </w:pPr>
            <w:r>
              <w:rPr/>
              <w:t>Title: Senior Vice President and Chief Financial Officer</w:t>
            </w:r>
          </w:p>
          <w:p>
            <w:pPr>
              <w:pStyle w:val="TableContents"/>
              <w:bidi w:val="0"/>
              <w:spacing w:before="0" w:after="0"/>
              <w:jc w:val="left"/>
              <w:rPr/>
            </w:pPr>
            <w:r>
              <w:rPr/>
              <w:t>(Principal Financial and Accounting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b w:val="false"/>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61" w:name="POWER"/>
      <w:bookmarkEnd w:id="61"/>
      <w:r>
        <w:rPr>
          <w:rFonts w:ascii="Times New Roman" w:hAnsi="Times New Roman"/>
          <w:b/>
          <w:color w:val="000000"/>
          <w:sz w:val="20"/>
          <w:shd w:fill="FFFFFF" w:val="clear"/>
        </w:rPr>
        <w:t>POWER OF ATTORNEY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KNOW ALL PERSONS BY THESE PRESENTS, that each person whose signature appears below constitutes and appoints John Swygert, Robert Helm, and James Comitale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this Annual Report on Form 10-K has been signed below by the following persons on behalf of the Registrant in the capacities and on the dates indicated.</w:t>
      </w:r>
    </w:p>
    <w:p>
      <w:pPr>
        <w:pStyle w:val="TextBody"/>
        <w:bidi w:val="0"/>
        <w:spacing w:before="0" w:after="0"/>
        <w:jc w:val="left"/>
        <w:rPr>
          <w:color w:val="000000"/>
          <w:shd w:fill="FFFFFF" w:val="clear"/>
        </w:rPr>
      </w:pPr>
      <w:r>
        <w:rPr>
          <w:color w:val="000000"/>
          <w:shd w:fill="FFFFFF" w:val="clear"/>
        </w:rPr>
        <w:t> </w:t>
      </w:r>
    </w:p>
    <w:tbl>
      <w:tblPr>
        <w:tblW w:w="8265" w:type="dxa"/>
        <w:jc w:val="left"/>
        <w:tblInd w:w="0" w:type="dxa"/>
        <w:tblLayout w:type="fixed"/>
        <w:tblCellMar>
          <w:top w:w="0" w:type="dxa"/>
          <w:left w:w="0" w:type="dxa"/>
          <w:bottom w:w="28" w:type="dxa"/>
          <w:right w:w="0" w:type="dxa"/>
        </w:tblCellMar>
      </w:tblPr>
      <w:tblGrid>
        <w:gridCol w:w="2345"/>
        <w:gridCol w:w="60"/>
        <w:gridCol w:w="4250"/>
        <w:gridCol w:w="60"/>
        <w:gridCol w:w="1550"/>
      </w:tblGrid>
      <w:tr>
        <w:trPr/>
        <w:tc>
          <w:tcPr>
            <w:tcW w:w="2345" w:type="dxa"/>
            <w:tcBorders>
              <w:bottom w:val="single" w:sz="12" w:space="0" w:color="000000"/>
            </w:tcBorders>
            <w:vAlign w:val="center"/>
          </w:tcPr>
          <w:p>
            <w:pPr>
              <w:pStyle w:val="TableContents"/>
              <w:bidi w:val="0"/>
              <w:spacing w:before="0" w:after="0"/>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4250" w:type="dxa"/>
            <w:tcBorders>
              <w:bottom w:val="single" w:sz="12" w:space="0" w:color="000000"/>
            </w:tcBorders>
            <w:vAlign w:val="center"/>
          </w:tcPr>
          <w:p>
            <w:pPr>
              <w:pStyle w:val="TableContents"/>
              <w:bidi w:val="0"/>
              <w:spacing w:before="0" w:after="0"/>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0"/>
              <w:jc w:val="center"/>
              <w:rPr>
                <w:b/>
              </w:rPr>
            </w:pPr>
            <w:r>
              <w:rPr>
                <w:b/>
              </w:rPr>
              <w:t>Date</w:t>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12" w:space="0" w:color="000000"/>
            </w:tcBorders>
            <w:vAlign w:val="center"/>
          </w:tcPr>
          <w:p>
            <w:pPr>
              <w:pStyle w:val="TableContents"/>
              <w:bidi w:val="0"/>
              <w:spacing w:before="0" w:after="0"/>
              <w:jc w:val="center"/>
              <w:rPr/>
            </w:pPr>
            <w:r>
              <w:rPr/>
              <w:t>/s/ John Swygert</w:t>
            </w:r>
          </w:p>
        </w:tc>
        <w:tc>
          <w:tcPr>
            <w:tcW w:w="60" w:type="dxa"/>
            <w:vMerge w:val="restart"/>
            <w:tcBorders/>
            <w:tcMar>
              <w:bottom w:w="0" w:type="dxa"/>
            </w:tcMar>
            <w:vAlign w:val="center"/>
          </w:tcPr>
          <w:p>
            <w:pPr>
              <w:pStyle w:val="TableContents"/>
              <w:bidi w:val="0"/>
              <w:spacing w:before="0" w:after="283"/>
              <w:jc w:val="left"/>
              <w:rPr/>
            </w:pPr>
            <w:r>
              <w:rPr/>
              <w:t> </w:t>
            </w:r>
          </w:p>
        </w:tc>
        <w:tc>
          <w:tcPr>
            <w:tcW w:w="4250" w:type="dxa"/>
            <w:vMerge w:val="restart"/>
            <w:tcBorders/>
            <w:tcMar>
              <w:bottom w:w="0" w:type="dxa"/>
            </w:tcMar>
            <w:vAlign w:val="center"/>
          </w:tcPr>
          <w:p>
            <w:pPr>
              <w:pStyle w:val="TableContents"/>
              <w:bidi w:val="0"/>
              <w:spacing w:before="0" w:after="0"/>
              <w:jc w:val="center"/>
              <w:rPr/>
            </w:pPr>
            <w:r>
              <w:rPr/>
              <w:t>President and Chief Executive Officer</w:t>
            </w:r>
          </w:p>
          <w:p>
            <w:pPr>
              <w:pStyle w:val="TableContents"/>
              <w:bidi w:val="0"/>
              <w:spacing w:before="0" w:after="0"/>
              <w:jc w:val="center"/>
              <w:rPr/>
            </w:pPr>
            <w:r>
              <w:rPr/>
              <w:t>(Principal Executive Officer)</w:t>
            </w:r>
          </w:p>
        </w:tc>
        <w:tc>
          <w:tcPr>
            <w:tcW w:w="60" w:type="dxa"/>
            <w:vMerge w:val="restart"/>
            <w:tcBorders/>
            <w:tcMar>
              <w:bottom w:w="0" w:type="dxa"/>
            </w:tcMar>
            <w:vAlign w:val="center"/>
          </w:tcPr>
          <w:p>
            <w:pPr>
              <w:pStyle w:val="TableContents"/>
              <w:bidi w:val="0"/>
              <w:spacing w:before="0" w:after="283"/>
              <w:jc w:val="left"/>
              <w:rPr/>
            </w:pPr>
            <w:r>
              <w:rPr/>
              <w:t> </w:t>
            </w:r>
          </w:p>
        </w:tc>
        <w:tc>
          <w:tcPr>
            <w:tcW w:w="1550" w:type="dxa"/>
            <w:vMerge w:val="restart"/>
            <w:tcBorders/>
            <w:tcMar>
              <w:bottom w:w="0" w:type="dxa"/>
            </w:tcMar>
            <w:vAlign w:val="center"/>
          </w:tcPr>
          <w:p>
            <w:pPr>
              <w:pStyle w:val="TableContents"/>
              <w:bidi w:val="0"/>
              <w:spacing w:before="0" w:after="0"/>
              <w:jc w:val="center"/>
              <w:rPr/>
            </w:pPr>
            <w:r>
              <w:rPr/>
              <w:t>March 27, 2024</w:t>
            </w:r>
          </w:p>
        </w:tc>
      </w:tr>
      <w:tr>
        <w:trPr/>
        <w:tc>
          <w:tcPr>
            <w:tcW w:w="2345" w:type="dxa"/>
            <w:tcBorders/>
            <w:tcMar>
              <w:bottom w:w="0" w:type="dxa"/>
            </w:tcMar>
            <w:vAlign w:val="center"/>
          </w:tcPr>
          <w:p>
            <w:pPr>
              <w:pStyle w:val="TableContents"/>
              <w:bidi w:val="0"/>
              <w:spacing w:before="0" w:after="283"/>
              <w:jc w:val="center"/>
              <w:rPr/>
            </w:pPr>
            <w:r>
              <w:rPr/>
              <w:t> </w:t>
            </w:r>
            <w:r>
              <w:rPr/>
              <w:t>John Swygert</w:t>
            </w:r>
          </w:p>
        </w:tc>
        <w:tc>
          <w:tcPr>
            <w:tcW w:w="60" w:type="dxa"/>
            <w:vMerge w:val="continue"/>
            <w:tcBorders/>
            <w:tcMar>
              <w:bottom w:w="0" w:type="dxa"/>
            </w:tcMar>
            <w:vAlign w:val="center"/>
          </w:tcPr>
          <w:p>
            <w:pPr>
              <w:pStyle w:val="Normal"/>
              <w:bidi w:val="0"/>
              <w:jc w:val="left"/>
              <w:rPr/>
            </w:pPr>
            <w:r>
              <w:rPr/>
            </w:r>
          </w:p>
        </w:tc>
        <w:tc>
          <w:tcPr>
            <w:tcW w:w="425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550" w:type="dxa"/>
            <w:vMerge w:val="continue"/>
            <w:tcBorders/>
            <w:tcMar>
              <w:bottom w:w="0" w:type="dxa"/>
            </w:tcMar>
            <w:vAlign w:val="center"/>
          </w:tcPr>
          <w:p>
            <w:pPr>
              <w:pStyle w:val="Normal"/>
              <w:bidi w:val="0"/>
              <w:jc w:val="left"/>
              <w:rPr/>
            </w:pPr>
            <w:r>
              <w:rPr/>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12" w:space="0" w:color="000000"/>
            </w:tcBorders>
            <w:vAlign w:val="center"/>
          </w:tcPr>
          <w:p>
            <w:pPr>
              <w:pStyle w:val="TableContents"/>
              <w:bidi w:val="0"/>
              <w:spacing w:before="0" w:after="0"/>
              <w:jc w:val="center"/>
              <w:rPr/>
            </w:pPr>
            <w:r>
              <w:rPr/>
              <w:t>/s/ Robert Helm</w:t>
            </w:r>
          </w:p>
        </w:tc>
        <w:tc>
          <w:tcPr>
            <w:tcW w:w="60" w:type="dxa"/>
            <w:vMerge w:val="restart"/>
            <w:tcBorders/>
            <w:tcMar>
              <w:bottom w:w="0" w:type="dxa"/>
            </w:tcMar>
            <w:vAlign w:val="center"/>
          </w:tcPr>
          <w:p>
            <w:pPr>
              <w:pStyle w:val="TableContents"/>
              <w:bidi w:val="0"/>
              <w:spacing w:before="0" w:after="283"/>
              <w:jc w:val="left"/>
              <w:rPr/>
            </w:pPr>
            <w:r>
              <w:rPr/>
              <w:t> </w:t>
            </w:r>
          </w:p>
        </w:tc>
        <w:tc>
          <w:tcPr>
            <w:tcW w:w="4250" w:type="dxa"/>
            <w:vMerge w:val="restart"/>
            <w:tcBorders/>
            <w:tcMar>
              <w:bottom w:w="0" w:type="dxa"/>
            </w:tcMar>
            <w:vAlign w:val="center"/>
          </w:tcPr>
          <w:p>
            <w:pPr>
              <w:pStyle w:val="TableContents"/>
              <w:bidi w:val="0"/>
              <w:spacing w:before="0" w:after="0"/>
              <w:jc w:val="center"/>
              <w:rPr/>
            </w:pPr>
            <w:r>
              <w:rPr/>
              <w:t>Senior Vice President</w:t>
            </w:r>
          </w:p>
          <w:p>
            <w:pPr>
              <w:pStyle w:val="TableContents"/>
              <w:bidi w:val="0"/>
              <w:spacing w:before="0" w:after="0"/>
              <w:jc w:val="center"/>
              <w:rPr/>
            </w:pPr>
            <w:r>
              <w:rPr/>
              <w:t>and Chief Financial Officer</w:t>
            </w:r>
          </w:p>
          <w:p>
            <w:pPr>
              <w:pStyle w:val="TableContents"/>
              <w:bidi w:val="0"/>
              <w:spacing w:before="0" w:after="0"/>
              <w:jc w:val="center"/>
              <w:rPr/>
            </w:pPr>
            <w:r>
              <w:rPr/>
              <w:t>(Principal Financial and Accounting Officer)</w:t>
            </w:r>
          </w:p>
        </w:tc>
        <w:tc>
          <w:tcPr>
            <w:tcW w:w="60" w:type="dxa"/>
            <w:vMerge w:val="restart"/>
            <w:tcBorders/>
            <w:tcMar>
              <w:bottom w:w="0" w:type="dxa"/>
            </w:tcMar>
            <w:vAlign w:val="center"/>
          </w:tcPr>
          <w:p>
            <w:pPr>
              <w:pStyle w:val="TableContents"/>
              <w:bidi w:val="0"/>
              <w:spacing w:before="0" w:after="283"/>
              <w:jc w:val="left"/>
              <w:rPr/>
            </w:pPr>
            <w:r>
              <w:rPr/>
              <w:t> </w:t>
            </w:r>
          </w:p>
        </w:tc>
        <w:tc>
          <w:tcPr>
            <w:tcW w:w="1550" w:type="dxa"/>
            <w:vMerge w:val="restart"/>
            <w:tcBorders/>
            <w:tcMar>
              <w:bottom w:w="0" w:type="dxa"/>
            </w:tcMar>
            <w:vAlign w:val="center"/>
          </w:tcPr>
          <w:p>
            <w:pPr>
              <w:pStyle w:val="TableContents"/>
              <w:bidi w:val="0"/>
              <w:spacing w:before="0" w:after="0"/>
              <w:jc w:val="center"/>
              <w:rPr/>
            </w:pPr>
            <w:r>
              <w:rPr/>
              <w:t>March 27, 2024</w:t>
            </w:r>
          </w:p>
        </w:tc>
      </w:tr>
      <w:tr>
        <w:trPr/>
        <w:tc>
          <w:tcPr>
            <w:tcW w:w="2345" w:type="dxa"/>
            <w:tcBorders/>
            <w:tcMar>
              <w:bottom w:w="0" w:type="dxa"/>
            </w:tcMar>
            <w:vAlign w:val="center"/>
          </w:tcPr>
          <w:p>
            <w:pPr>
              <w:pStyle w:val="TableContents"/>
              <w:bidi w:val="0"/>
              <w:spacing w:before="0" w:after="283"/>
              <w:jc w:val="center"/>
              <w:rPr/>
            </w:pPr>
            <w:r>
              <w:rPr/>
              <w:t> </w:t>
            </w:r>
            <w:r>
              <w:rPr/>
              <w:t>Robert Helm</w:t>
            </w:r>
          </w:p>
        </w:tc>
        <w:tc>
          <w:tcPr>
            <w:tcW w:w="60" w:type="dxa"/>
            <w:vMerge w:val="continue"/>
            <w:tcBorders/>
            <w:tcMar>
              <w:bottom w:w="0" w:type="dxa"/>
            </w:tcMar>
            <w:vAlign w:val="center"/>
          </w:tcPr>
          <w:p>
            <w:pPr>
              <w:pStyle w:val="Normal"/>
              <w:bidi w:val="0"/>
              <w:jc w:val="left"/>
              <w:rPr/>
            </w:pPr>
            <w:r>
              <w:rPr/>
            </w:r>
          </w:p>
        </w:tc>
        <w:tc>
          <w:tcPr>
            <w:tcW w:w="425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550" w:type="dxa"/>
            <w:vMerge w:val="continue"/>
            <w:tcBorders/>
            <w:tcMar>
              <w:bottom w:w="0" w:type="dxa"/>
            </w:tcMar>
            <w:vAlign w:val="center"/>
          </w:tcPr>
          <w:p>
            <w:pPr>
              <w:pStyle w:val="Normal"/>
              <w:bidi w:val="0"/>
              <w:jc w:val="left"/>
              <w:rPr/>
            </w:pPr>
            <w:r>
              <w:rPr/>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12" w:space="0" w:color="000000"/>
            </w:tcBorders>
            <w:vAlign w:val="center"/>
          </w:tcPr>
          <w:p>
            <w:pPr>
              <w:pStyle w:val="TableContents"/>
              <w:bidi w:val="0"/>
              <w:spacing w:before="0" w:after="0"/>
              <w:jc w:val="center"/>
              <w:rPr/>
            </w:pPr>
            <w:r>
              <w:rPr/>
              <w:t>/s/ Alissa Ahlman</w:t>
            </w:r>
          </w:p>
        </w:tc>
        <w:tc>
          <w:tcPr>
            <w:tcW w:w="60" w:type="dxa"/>
            <w:vMerge w:val="restart"/>
            <w:tcBorders/>
            <w:tcMar>
              <w:bottom w:w="0" w:type="dxa"/>
            </w:tcMar>
            <w:vAlign w:val="center"/>
          </w:tcPr>
          <w:p>
            <w:pPr>
              <w:pStyle w:val="TableContents"/>
              <w:bidi w:val="0"/>
              <w:spacing w:before="0" w:after="283"/>
              <w:jc w:val="left"/>
              <w:rPr/>
            </w:pPr>
            <w:r>
              <w:rPr/>
              <w:t> </w:t>
            </w:r>
          </w:p>
        </w:tc>
        <w:tc>
          <w:tcPr>
            <w:tcW w:w="4250" w:type="dxa"/>
            <w:vMerge w:val="restart"/>
            <w:tcBorders/>
            <w:tcMar>
              <w:bottom w:w="0" w:type="dxa"/>
            </w:tcMar>
            <w:vAlign w:val="center"/>
          </w:tcPr>
          <w:p>
            <w:pPr>
              <w:pStyle w:val="TableContents"/>
              <w:bidi w:val="0"/>
              <w:spacing w:before="0" w:after="0"/>
              <w:jc w:val="center"/>
              <w:rPr/>
            </w:pPr>
            <w:r>
              <w:rPr/>
              <w:t>Director</w:t>
            </w:r>
          </w:p>
        </w:tc>
        <w:tc>
          <w:tcPr>
            <w:tcW w:w="60" w:type="dxa"/>
            <w:vMerge w:val="restart"/>
            <w:tcBorders/>
            <w:tcMar>
              <w:bottom w:w="0" w:type="dxa"/>
            </w:tcMar>
            <w:vAlign w:val="center"/>
          </w:tcPr>
          <w:p>
            <w:pPr>
              <w:pStyle w:val="TableContents"/>
              <w:bidi w:val="0"/>
              <w:spacing w:before="0" w:after="283"/>
              <w:jc w:val="left"/>
              <w:rPr/>
            </w:pPr>
            <w:r>
              <w:rPr/>
              <w:t> </w:t>
            </w:r>
          </w:p>
        </w:tc>
        <w:tc>
          <w:tcPr>
            <w:tcW w:w="1550" w:type="dxa"/>
            <w:vMerge w:val="restart"/>
            <w:tcBorders/>
            <w:tcMar>
              <w:bottom w:w="0" w:type="dxa"/>
            </w:tcMar>
            <w:vAlign w:val="center"/>
          </w:tcPr>
          <w:p>
            <w:pPr>
              <w:pStyle w:val="TableContents"/>
              <w:bidi w:val="0"/>
              <w:spacing w:before="0" w:after="0"/>
              <w:jc w:val="center"/>
              <w:rPr/>
            </w:pPr>
            <w:r>
              <w:rPr/>
              <w:t>March 27, 2024</w:t>
            </w:r>
          </w:p>
        </w:tc>
      </w:tr>
      <w:tr>
        <w:trPr/>
        <w:tc>
          <w:tcPr>
            <w:tcW w:w="2345" w:type="dxa"/>
            <w:tcBorders/>
            <w:tcMar>
              <w:bottom w:w="0" w:type="dxa"/>
            </w:tcMar>
            <w:vAlign w:val="center"/>
          </w:tcPr>
          <w:p>
            <w:pPr>
              <w:pStyle w:val="TableContents"/>
              <w:bidi w:val="0"/>
              <w:spacing w:before="0" w:after="283"/>
              <w:jc w:val="center"/>
              <w:rPr/>
            </w:pPr>
            <w:r>
              <w:rPr/>
              <w:t> </w:t>
            </w:r>
            <w:r>
              <w:rPr/>
              <w:t>Alissa Ahlman</w:t>
            </w:r>
          </w:p>
        </w:tc>
        <w:tc>
          <w:tcPr>
            <w:tcW w:w="60" w:type="dxa"/>
            <w:vMerge w:val="continue"/>
            <w:tcBorders/>
            <w:tcMar>
              <w:bottom w:w="0" w:type="dxa"/>
            </w:tcMar>
            <w:vAlign w:val="center"/>
          </w:tcPr>
          <w:p>
            <w:pPr>
              <w:pStyle w:val="Normal"/>
              <w:bidi w:val="0"/>
              <w:jc w:val="left"/>
              <w:rPr/>
            </w:pPr>
            <w:r>
              <w:rPr/>
            </w:r>
          </w:p>
        </w:tc>
        <w:tc>
          <w:tcPr>
            <w:tcW w:w="425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550" w:type="dxa"/>
            <w:vMerge w:val="continue"/>
            <w:tcBorders/>
            <w:tcMar>
              <w:bottom w:w="0" w:type="dxa"/>
            </w:tcMar>
            <w:vAlign w:val="center"/>
          </w:tcPr>
          <w:p>
            <w:pPr>
              <w:pStyle w:val="Normal"/>
              <w:bidi w:val="0"/>
              <w:jc w:val="left"/>
              <w:rPr/>
            </w:pPr>
            <w:r>
              <w:rPr/>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12" w:space="0" w:color="000000"/>
            </w:tcBorders>
            <w:vAlign w:val="center"/>
          </w:tcPr>
          <w:p>
            <w:pPr>
              <w:pStyle w:val="TableContents"/>
              <w:bidi w:val="0"/>
              <w:spacing w:before="0" w:after="0"/>
              <w:jc w:val="center"/>
              <w:rPr/>
            </w:pPr>
            <w:r>
              <w:rPr/>
              <w:t>/s/ Mary Baglivo</w:t>
            </w:r>
          </w:p>
        </w:tc>
        <w:tc>
          <w:tcPr>
            <w:tcW w:w="60" w:type="dxa"/>
            <w:vMerge w:val="restart"/>
            <w:tcBorders/>
            <w:tcMar>
              <w:bottom w:w="0" w:type="dxa"/>
            </w:tcMar>
            <w:vAlign w:val="center"/>
          </w:tcPr>
          <w:p>
            <w:pPr>
              <w:pStyle w:val="TableContents"/>
              <w:bidi w:val="0"/>
              <w:spacing w:before="0" w:after="283"/>
              <w:jc w:val="left"/>
              <w:rPr/>
            </w:pPr>
            <w:r>
              <w:rPr/>
              <w:t> </w:t>
            </w:r>
          </w:p>
        </w:tc>
        <w:tc>
          <w:tcPr>
            <w:tcW w:w="4250" w:type="dxa"/>
            <w:vMerge w:val="restart"/>
            <w:tcBorders/>
            <w:tcMar>
              <w:bottom w:w="0" w:type="dxa"/>
            </w:tcMar>
            <w:vAlign w:val="center"/>
          </w:tcPr>
          <w:p>
            <w:pPr>
              <w:pStyle w:val="TableContents"/>
              <w:bidi w:val="0"/>
              <w:spacing w:before="0" w:after="0"/>
              <w:jc w:val="center"/>
              <w:rPr/>
            </w:pPr>
            <w:r>
              <w:rPr/>
              <w:t>Director</w:t>
            </w:r>
          </w:p>
        </w:tc>
        <w:tc>
          <w:tcPr>
            <w:tcW w:w="60" w:type="dxa"/>
            <w:vMerge w:val="restart"/>
            <w:tcBorders/>
            <w:tcMar>
              <w:bottom w:w="0" w:type="dxa"/>
            </w:tcMar>
            <w:vAlign w:val="center"/>
          </w:tcPr>
          <w:p>
            <w:pPr>
              <w:pStyle w:val="TableContents"/>
              <w:bidi w:val="0"/>
              <w:spacing w:before="0" w:after="283"/>
              <w:jc w:val="left"/>
              <w:rPr/>
            </w:pPr>
            <w:r>
              <w:rPr/>
              <w:t> </w:t>
            </w:r>
          </w:p>
        </w:tc>
        <w:tc>
          <w:tcPr>
            <w:tcW w:w="1550" w:type="dxa"/>
            <w:vMerge w:val="restart"/>
            <w:tcBorders/>
            <w:tcMar>
              <w:bottom w:w="0" w:type="dxa"/>
            </w:tcMar>
            <w:vAlign w:val="center"/>
          </w:tcPr>
          <w:p>
            <w:pPr>
              <w:pStyle w:val="TableContents"/>
              <w:bidi w:val="0"/>
              <w:spacing w:before="0" w:after="0"/>
              <w:jc w:val="center"/>
              <w:rPr/>
            </w:pPr>
            <w:r>
              <w:rPr/>
              <w:t>March 27, 2024</w:t>
            </w:r>
          </w:p>
        </w:tc>
      </w:tr>
      <w:tr>
        <w:trPr/>
        <w:tc>
          <w:tcPr>
            <w:tcW w:w="2345" w:type="dxa"/>
            <w:tcBorders/>
            <w:tcMar>
              <w:bottom w:w="0" w:type="dxa"/>
            </w:tcMar>
            <w:vAlign w:val="center"/>
          </w:tcPr>
          <w:p>
            <w:pPr>
              <w:pStyle w:val="TableContents"/>
              <w:bidi w:val="0"/>
              <w:spacing w:before="0" w:after="283"/>
              <w:jc w:val="center"/>
              <w:rPr/>
            </w:pPr>
            <w:r>
              <w:rPr/>
              <w:t> </w:t>
            </w:r>
            <w:r>
              <w:rPr/>
              <w:t>Mary Baglivo</w:t>
            </w:r>
          </w:p>
        </w:tc>
        <w:tc>
          <w:tcPr>
            <w:tcW w:w="60" w:type="dxa"/>
            <w:vMerge w:val="continue"/>
            <w:tcBorders/>
            <w:tcMar>
              <w:bottom w:w="0" w:type="dxa"/>
            </w:tcMar>
            <w:vAlign w:val="center"/>
          </w:tcPr>
          <w:p>
            <w:pPr>
              <w:pStyle w:val="Normal"/>
              <w:bidi w:val="0"/>
              <w:jc w:val="left"/>
              <w:rPr/>
            </w:pPr>
            <w:r>
              <w:rPr/>
            </w:r>
          </w:p>
        </w:tc>
        <w:tc>
          <w:tcPr>
            <w:tcW w:w="425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550" w:type="dxa"/>
            <w:vMerge w:val="continue"/>
            <w:tcBorders/>
            <w:tcMar>
              <w:bottom w:w="0" w:type="dxa"/>
            </w:tcMar>
            <w:vAlign w:val="center"/>
          </w:tcPr>
          <w:p>
            <w:pPr>
              <w:pStyle w:val="Normal"/>
              <w:bidi w:val="0"/>
              <w:jc w:val="left"/>
              <w:rPr/>
            </w:pPr>
            <w:r>
              <w:rPr/>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12" w:space="0" w:color="000000"/>
            </w:tcBorders>
            <w:vAlign w:val="center"/>
          </w:tcPr>
          <w:p>
            <w:pPr>
              <w:pStyle w:val="TableContents"/>
              <w:bidi w:val="0"/>
              <w:spacing w:before="0" w:after="0"/>
              <w:jc w:val="center"/>
              <w:rPr/>
            </w:pPr>
            <w:r>
              <w:rPr/>
              <w:t>/s/ Robert Fisch</w:t>
            </w:r>
          </w:p>
        </w:tc>
        <w:tc>
          <w:tcPr>
            <w:tcW w:w="60" w:type="dxa"/>
            <w:vMerge w:val="restart"/>
            <w:tcBorders/>
            <w:tcMar>
              <w:bottom w:w="0" w:type="dxa"/>
            </w:tcMar>
            <w:vAlign w:val="center"/>
          </w:tcPr>
          <w:p>
            <w:pPr>
              <w:pStyle w:val="TableContents"/>
              <w:bidi w:val="0"/>
              <w:spacing w:before="0" w:after="283"/>
              <w:jc w:val="left"/>
              <w:rPr/>
            </w:pPr>
            <w:r>
              <w:rPr/>
              <w:t> </w:t>
            </w:r>
          </w:p>
        </w:tc>
        <w:tc>
          <w:tcPr>
            <w:tcW w:w="4250" w:type="dxa"/>
            <w:vMerge w:val="restart"/>
            <w:tcBorders/>
            <w:tcMar>
              <w:bottom w:w="0" w:type="dxa"/>
            </w:tcMar>
            <w:vAlign w:val="center"/>
          </w:tcPr>
          <w:p>
            <w:pPr>
              <w:pStyle w:val="TableContents"/>
              <w:bidi w:val="0"/>
              <w:spacing w:before="0" w:after="0"/>
              <w:jc w:val="center"/>
              <w:rPr/>
            </w:pPr>
            <w:r>
              <w:rPr/>
              <w:t>Director</w:t>
            </w:r>
          </w:p>
        </w:tc>
        <w:tc>
          <w:tcPr>
            <w:tcW w:w="60" w:type="dxa"/>
            <w:vMerge w:val="restart"/>
            <w:tcBorders/>
            <w:tcMar>
              <w:bottom w:w="0" w:type="dxa"/>
            </w:tcMar>
            <w:vAlign w:val="center"/>
          </w:tcPr>
          <w:p>
            <w:pPr>
              <w:pStyle w:val="TableContents"/>
              <w:bidi w:val="0"/>
              <w:spacing w:before="0" w:after="283"/>
              <w:jc w:val="left"/>
              <w:rPr/>
            </w:pPr>
            <w:r>
              <w:rPr/>
              <w:t> </w:t>
            </w:r>
          </w:p>
        </w:tc>
        <w:tc>
          <w:tcPr>
            <w:tcW w:w="1550" w:type="dxa"/>
            <w:vMerge w:val="restart"/>
            <w:tcBorders/>
            <w:tcMar>
              <w:bottom w:w="0" w:type="dxa"/>
            </w:tcMar>
            <w:vAlign w:val="center"/>
          </w:tcPr>
          <w:p>
            <w:pPr>
              <w:pStyle w:val="TableContents"/>
              <w:bidi w:val="0"/>
              <w:spacing w:before="0" w:after="0"/>
              <w:jc w:val="center"/>
              <w:rPr/>
            </w:pPr>
            <w:r>
              <w:rPr/>
              <w:t>March 27, 2024</w:t>
            </w:r>
          </w:p>
        </w:tc>
      </w:tr>
      <w:tr>
        <w:trPr/>
        <w:tc>
          <w:tcPr>
            <w:tcW w:w="2345" w:type="dxa"/>
            <w:tcBorders/>
            <w:tcMar>
              <w:bottom w:w="0" w:type="dxa"/>
            </w:tcMar>
            <w:vAlign w:val="center"/>
          </w:tcPr>
          <w:p>
            <w:pPr>
              <w:pStyle w:val="TableContents"/>
              <w:bidi w:val="0"/>
              <w:spacing w:before="0" w:after="283"/>
              <w:jc w:val="center"/>
              <w:rPr/>
            </w:pPr>
            <w:r>
              <w:rPr/>
              <w:t> </w:t>
            </w:r>
            <w:r>
              <w:rPr/>
              <w:t>Robert Fisch</w:t>
            </w:r>
          </w:p>
        </w:tc>
        <w:tc>
          <w:tcPr>
            <w:tcW w:w="60" w:type="dxa"/>
            <w:vMerge w:val="continue"/>
            <w:tcBorders/>
            <w:tcMar>
              <w:bottom w:w="0" w:type="dxa"/>
            </w:tcMar>
            <w:vAlign w:val="center"/>
          </w:tcPr>
          <w:p>
            <w:pPr>
              <w:pStyle w:val="Normal"/>
              <w:bidi w:val="0"/>
              <w:jc w:val="left"/>
              <w:rPr/>
            </w:pPr>
            <w:r>
              <w:rPr/>
            </w:r>
          </w:p>
        </w:tc>
        <w:tc>
          <w:tcPr>
            <w:tcW w:w="425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550" w:type="dxa"/>
            <w:vMerge w:val="continue"/>
            <w:tcBorders/>
            <w:tcMar>
              <w:bottom w:w="0" w:type="dxa"/>
            </w:tcMar>
            <w:vAlign w:val="center"/>
          </w:tcPr>
          <w:p>
            <w:pPr>
              <w:pStyle w:val="Normal"/>
              <w:bidi w:val="0"/>
              <w:jc w:val="left"/>
              <w:rPr/>
            </w:pPr>
            <w:r>
              <w:rPr/>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12" w:space="0" w:color="000000"/>
            </w:tcBorders>
            <w:vAlign w:val="center"/>
          </w:tcPr>
          <w:p>
            <w:pPr>
              <w:pStyle w:val="TableContents"/>
              <w:bidi w:val="0"/>
              <w:spacing w:before="0" w:after="0"/>
              <w:jc w:val="center"/>
              <w:rPr/>
            </w:pPr>
            <w:r>
              <w:rPr/>
              <w:t>/s/ Stanley Fleishman</w:t>
            </w:r>
          </w:p>
        </w:tc>
        <w:tc>
          <w:tcPr>
            <w:tcW w:w="60" w:type="dxa"/>
            <w:vMerge w:val="restart"/>
            <w:tcBorders/>
            <w:tcMar>
              <w:bottom w:w="0" w:type="dxa"/>
            </w:tcMar>
            <w:vAlign w:val="center"/>
          </w:tcPr>
          <w:p>
            <w:pPr>
              <w:pStyle w:val="TableContents"/>
              <w:bidi w:val="0"/>
              <w:spacing w:before="0" w:after="283"/>
              <w:jc w:val="left"/>
              <w:rPr/>
            </w:pPr>
            <w:r>
              <w:rPr/>
              <w:t> </w:t>
            </w:r>
          </w:p>
        </w:tc>
        <w:tc>
          <w:tcPr>
            <w:tcW w:w="4250" w:type="dxa"/>
            <w:vMerge w:val="restart"/>
            <w:tcBorders/>
            <w:tcMar>
              <w:bottom w:w="0" w:type="dxa"/>
            </w:tcMar>
            <w:vAlign w:val="center"/>
          </w:tcPr>
          <w:p>
            <w:pPr>
              <w:pStyle w:val="TableContents"/>
              <w:bidi w:val="0"/>
              <w:spacing w:before="0" w:after="0"/>
              <w:jc w:val="center"/>
              <w:rPr/>
            </w:pPr>
            <w:r>
              <w:rPr/>
              <w:t>Director</w:t>
            </w:r>
          </w:p>
        </w:tc>
        <w:tc>
          <w:tcPr>
            <w:tcW w:w="60" w:type="dxa"/>
            <w:vMerge w:val="restart"/>
            <w:tcBorders/>
            <w:tcMar>
              <w:bottom w:w="0" w:type="dxa"/>
            </w:tcMar>
            <w:vAlign w:val="center"/>
          </w:tcPr>
          <w:p>
            <w:pPr>
              <w:pStyle w:val="TableContents"/>
              <w:bidi w:val="0"/>
              <w:spacing w:before="0" w:after="283"/>
              <w:jc w:val="left"/>
              <w:rPr/>
            </w:pPr>
            <w:r>
              <w:rPr/>
              <w:t> </w:t>
            </w:r>
          </w:p>
        </w:tc>
        <w:tc>
          <w:tcPr>
            <w:tcW w:w="1550" w:type="dxa"/>
            <w:vMerge w:val="restart"/>
            <w:tcBorders/>
            <w:tcMar>
              <w:bottom w:w="0" w:type="dxa"/>
            </w:tcMar>
            <w:vAlign w:val="center"/>
          </w:tcPr>
          <w:p>
            <w:pPr>
              <w:pStyle w:val="TableContents"/>
              <w:bidi w:val="0"/>
              <w:spacing w:before="0" w:after="0"/>
              <w:jc w:val="center"/>
              <w:rPr/>
            </w:pPr>
            <w:r>
              <w:rPr/>
              <w:t>March 27, 2024</w:t>
            </w:r>
          </w:p>
        </w:tc>
      </w:tr>
      <w:tr>
        <w:trPr/>
        <w:tc>
          <w:tcPr>
            <w:tcW w:w="2345" w:type="dxa"/>
            <w:tcBorders/>
            <w:tcMar>
              <w:bottom w:w="0" w:type="dxa"/>
            </w:tcMar>
            <w:vAlign w:val="center"/>
          </w:tcPr>
          <w:p>
            <w:pPr>
              <w:pStyle w:val="TableContents"/>
              <w:bidi w:val="0"/>
              <w:spacing w:before="0" w:after="283"/>
              <w:jc w:val="center"/>
              <w:rPr/>
            </w:pPr>
            <w:r>
              <w:rPr/>
              <w:t> </w:t>
            </w:r>
            <w:r>
              <w:rPr/>
              <w:t>Stanley Fleishman</w:t>
            </w:r>
          </w:p>
        </w:tc>
        <w:tc>
          <w:tcPr>
            <w:tcW w:w="60" w:type="dxa"/>
            <w:vMerge w:val="continue"/>
            <w:tcBorders/>
            <w:tcMar>
              <w:bottom w:w="0" w:type="dxa"/>
            </w:tcMar>
            <w:vAlign w:val="center"/>
          </w:tcPr>
          <w:p>
            <w:pPr>
              <w:pStyle w:val="Normal"/>
              <w:bidi w:val="0"/>
              <w:jc w:val="left"/>
              <w:rPr/>
            </w:pPr>
            <w:r>
              <w:rPr/>
            </w:r>
          </w:p>
        </w:tc>
        <w:tc>
          <w:tcPr>
            <w:tcW w:w="425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550" w:type="dxa"/>
            <w:vMerge w:val="continue"/>
            <w:tcBorders/>
            <w:tcMar>
              <w:bottom w:w="0" w:type="dxa"/>
            </w:tcMar>
            <w:vAlign w:val="center"/>
          </w:tcPr>
          <w:p>
            <w:pPr>
              <w:pStyle w:val="Normal"/>
              <w:bidi w:val="0"/>
              <w:jc w:val="left"/>
              <w:rPr/>
            </w:pPr>
            <w:r>
              <w:rPr/>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12" w:space="0" w:color="000000"/>
            </w:tcBorders>
            <w:vAlign w:val="center"/>
          </w:tcPr>
          <w:p>
            <w:pPr>
              <w:pStyle w:val="TableContents"/>
              <w:bidi w:val="0"/>
              <w:spacing w:before="0" w:after="0"/>
              <w:jc w:val="center"/>
              <w:rPr/>
            </w:pPr>
            <w:r>
              <w:rPr/>
              <w:t>/s/ Thomas Hendrickson</w:t>
            </w:r>
          </w:p>
        </w:tc>
        <w:tc>
          <w:tcPr>
            <w:tcW w:w="60" w:type="dxa"/>
            <w:vMerge w:val="restart"/>
            <w:tcBorders/>
            <w:tcMar>
              <w:bottom w:w="0" w:type="dxa"/>
            </w:tcMar>
            <w:vAlign w:val="center"/>
          </w:tcPr>
          <w:p>
            <w:pPr>
              <w:pStyle w:val="TableContents"/>
              <w:bidi w:val="0"/>
              <w:spacing w:before="0" w:after="283"/>
              <w:jc w:val="left"/>
              <w:rPr/>
            </w:pPr>
            <w:r>
              <w:rPr/>
              <w:t> </w:t>
            </w:r>
          </w:p>
        </w:tc>
        <w:tc>
          <w:tcPr>
            <w:tcW w:w="4250" w:type="dxa"/>
            <w:vMerge w:val="restart"/>
            <w:tcBorders/>
            <w:tcMar>
              <w:bottom w:w="0" w:type="dxa"/>
            </w:tcMar>
            <w:vAlign w:val="center"/>
          </w:tcPr>
          <w:p>
            <w:pPr>
              <w:pStyle w:val="TableContents"/>
              <w:bidi w:val="0"/>
              <w:spacing w:before="0" w:after="0"/>
              <w:jc w:val="center"/>
              <w:rPr/>
            </w:pPr>
            <w:r>
              <w:rPr/>
              <w:t>Director</w:t>
            </w:r>
          </w:p>
        </w:tc>
        <w:tc>
          <w:tcPr>
            <w:tcW w:w="60" w:type="dxa"/>
            <w:vMerge w:val="restart"/>
            <w:tcBorders/>
            <w:tcMar>
              <w:bottom w:w="0" w:type="dxa"/>
            </w:tcMar>
            <w:vAlign w:val="center"/>
          </w:tcPr>
          <w:p>
            <w:pPr>
              <w:pStyle w:val="TableContents"/>
              <w:bidi w:val="0"/>
              <w:spacing w:before="0" w:after="283"/>
              <w:jc w:val="left"/>
              <w:rPr/>
            </w:pPr>
            <w:r>
              <w:rPr/>
              <w:t> </w:t>
            </w:r>
          </w:p>
        </w:tc>
        <w:tc>
          <w:tcPr>
            <w:tcW w:w="1550" w:type="dxa"/>
            <w:vMerge w:val="restart"/>
            <w:tcBorders/>
            <w:tcMar>
              <w:bottom w:w="0" w:type="dxa"/>
            </w:tcMar>
            <w:vAlign w:val="center"/>
          </w:tcPr>
          <w:p>
            <w:pPr>
              <w:pStyle w:val="TableContents"/>
              <w:bidi w:val="0"/>
              <w:spacing w:before="0" w:after="0"/>
              <w:jc w:val="center"/>
              <w:rPr/>
            </w:pPr>
            <w:r>
              <w:rPr/>
              <w:t>March 27, 2024</w:t>
            </w:r>
          </w:p>
        </w:tc>
      </w:tr>
      <w:tr>
        <w:trPr/>
        <w:tc>
          <w:tcPr>
            <w:tcW w:w="2345" w:type="dxa"/>
            <w:tcBorders/>
            <w:tcMar>
              <w:bottom w:w="0" w:type="dxa"/>
            </w:tcMar>
            <w:vAlign w:val="center"/>
          </w:tcPr>
          <w:p>
            <w:pPr>
              <w:pStyle w:val="TableContents"/>
              <w:bidi w:val="0"/>
              <w:spacing w:before="0" w:after="283"/>
              <w:jc w:val="center"/>
              <w:rPr/>
            </w:pPr>
            <w:r>
              <w:rPr/>
              <w:t> </w:t>
            </w:r>
            <w:r>
              <w:rPr/>
              <w:t>Thomas Hendrickson</w:t>
            </w:r>
          </w:p>
        </w:tc>
        <w:tc>
          <w:tcPr>
            <w:tcW w:w="60" w:type="dxa"/>
            <w:vMerge w:val="continue"/>
            <w:tcBorders/>
            <w:tcMar>
              <w:bottom w:w="0" w:type="dxa"/>
            </w:tcMar>
            <w:vAlign w:val="center"/>
          </w:tcPr>
          <w:p>
            <w:pPr>
              <w:pStyle w:val="Normal"/>
              <w:bidi w:val="0"/>
              <w:jc w:val="left"/>
              <w:rPr/>
            </w:pPr>
            <w:r>
              <w:rPr/>
            </w:r>
          </w:p>
        </w:tc>
        <w:tc>
          <w:tcPr>
            <w:tcW w:w="425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550" w:type="dxa"/>
            <w:vMerge w:val="continue"/>
            <w:tcBorders/>
            <w:tcMar>
              <w:bottom w:w="0" w:type="dxa"/>
            </w:tcMar>
            <w:vAlign w:val="center"/>
          </w:tcPr>
          <w:p>
            <w:pPr>
              <w:pStyle w:val="Normal"/>
              <w:bidi w:val="0"/>
              <w:jc w:val="left"/>
              <w:rPr/>
            </w:pPr>
            <w:r>
              <w:rPr/>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12" w:space="0" w:color="000000"/>
            </w:tcBorders>
            <w:vAlign w:val="center"/>
          </w:tcPr>
          <w:p>
            <w:pPr>
              <w:pStyle w:val="TableContents"/>
              <w:bidi w:val="0"/>
              <w:spacing w:before="0" w:after="0"/>
              <w:jc w:val="center"/>
              <w:rPr/>
            </w:pPr>
            <w:r>
              <w:rPr/>
              <w:t>/s/ Abid Rizvi</w:t>
            </w:r>
          </w:p>
        </w:tc>
        <w:tc>
          <w:tcPr>
            <w:tcW w:w="60" w:type="dxa"/>
            <w:vMerge w:val="restart"/>
            <w:tcBorders/>
            <w:tcMar>
              <w:bottom w:w="0" w:type="dxa"/>
            </w:tcMar>
            <w:vAlign w:val="center"/>
          </w:tcPr>
          <w:p>
            <w:pPr>
              <w:pStyle w:val="TableContents"/>
              <w:bidi w:val="0"/>
              <w:spacing w:before="0" w:after="283"/>
              <w:jc w:val="left"/>
              <w:rPr/>
            </w:pPr>
            <w:r>
              <w:rPr/>
              <w:t> </w:t>
            </w:r>
          </w:p>
        </w:tc>
        <w:tc>
          <w:tcPr>
            <w:tcW w:w="4250" w:type="dxa"/>
            <w:vMerge w:val="restart"/>
            <w:tcBorders/>
            <w:tcMar>
              <w:bottom w:w="0" w:type="dxa"/>
            </w:tcMar>
            <w:vAlign w:val="center"/>
          </w:tcPr>
          <w:p>
            <w:pPr>
              <w:pStyle w:val="TableContents"/>
              <w:bidi w:val="0"/>
              <w:spacing w:before="0" w:after="0"/>
              <w:jc w:val="center"/>
              <w:rPr/>
            </w:pPr>
            <w:r>
              <w:rPr/>
              <w:t>Director</w:t>
            </w:r>
          </w:p>
        </w:tc>
        <w:tc>
          <w:tcPr>
            <w:tcW w:w="60" w:type="dxa"/>
            <w:vMerge w:val="restart"/>
            <w:tcBorders/>
            <w:tcMar>
              <w:bottom w:w="0" w:type="dxa"/>
            </w:tcMar>
            <w:vAlign w:val="center"/>
          </w:tcPr>
          <w:p>
            <w:pPr>
              <w:pStyle w:val="TableContents"/>
              <w:bidi w:val="0"/>
              <w:spacing w:before="0" w:after="283"/>
              <w:jc w:val="left"/>
              <w:rPr/>
            </w:pPr>
            <w:r>
              <w:rPr/>
              <w:t> </w:t>
            </w:r>
          </w:p>
        </w:tc>
        <w:tc>
          <w:tcPr>
            <w:tcW w:w="1550" w:type="dxa"/>
            <w:vMerge w:val="restart"/>
            <w:tcBorders/>
            <w:tcMar>
              <w:bottom w:w="0" w:type="dxa"/>
            </w:tcMar>
            <w:vAlign w:val="center"/>
          </w:tcPr>
          <w:p>
            <w:pPr>
              <w:pStyle w:val="TableContents"/>
              <w:bidi w:val="0"/>
              <w:spacing w:before="0" w:after="0"/>
              <w:jc w:val="center"/>
              <w:rPr/>
            </w:pPr>
            <w:r>
              <w:rPr/>
              <w:t>March 27, 2024</w:t>
            </w:r>
          </w:p>
        </w:tc>
      </w:tr>
      <w:tr>
        <w:trPr/>
        <w:tc>
          <w:tcPr>
            <w:tcW w:w="2345" w:type="dxa"/>
            <w:tcBorders/>
            <w:tcMar>
              <w:bottom w:w="0" w:type="dxa"/>
            </w:tcMar>
            <w:vAlign w:val="center"/>
          </w:tcPr>
          <w:p>
            <w:pPr>
              <w:pStyle w:val="TableContents"/>
              <w:bidi w:val="0"/>
              <w:spacing w:before="0" w:after="283"/>
              <w:jc w:val="center"/>
              <w:rPr/>
            </w:pPr>
            <w:r>
              <w:rPr/>
              <w:t> </w:t>
            </w:r>
            <w:r>
              <w:rPr/>
              <w:t>Abid Rizvi</w:t>
            </w:r>
          </w:p>
        </w:tc>
        <w:tc>
          <w:tcPr>
            <w:tcW w:w="60" w:type="dxa"/>
            <w:vMerge w:val="continue"/>
            <w:tcBorders/>
            <w:tcMar>
              <w:bottom w:w="0" w:type="dxa"/>
            </w:tcMar>
            <w:vAlign w:val="center"/>
          </w:tcPr>
          <w:p>
            <w:pPr>
              <w:pStyle w:val="Normal"/>
              <w:bidi w:val="0"/>
              <w:jc w:val="left"/>
              <w:rPr/>
            </w:pPr>
            <w:r>
              <w:rPr/>
            </w:r>
          </w:p>
        </w:tc>
        <w:tc>
          <w:tcPr>
            <w:tcW w:w="425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550" w:type="dxa"/>
            <w:vMerge w:val="continue"/>
            <w:tcBorders/>
            <w:tcMar>
              <w:bottom w:w="0" w:type="dxa"/>
            </w:tcMar>
            <w:vAlign w:val="center"/>
          </w:tcPr>
          <w:p>
            <w:pPr>
              <w:pStyle w:val="Normal"/>
              <w:bidi w:val="0"/>
              <w:jc w:val="left"/>
              <w:rPr/>
            </w:pPr>
            <w:r>
              <w:rPr/>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12" w:space="0" w:color="000000"/>
            </w:tcBorders>
            <w:vAlign w:val="center"/>
          </w:tcPr>
          <w:p>
            <w:pPr>
              <w:pStyle w:val="TableContents"/>
              <w:bidi w:val="0"/>
              <w:spacing w:before="0" w:after="0"/>
              <w:jc w:val="center"/>
              <w:rPr/>
            </w:pPr>
            <w:r>
              <w:rPr/>
              <w:t>/s/ Stephen White</w:t>
            </w:r>
          </w:p>
        </w:tc>
        <w:tc>
          <w:tcPr>
            <w:tcW w:w="60" w:type="dxa"/>
            <w:vMerge w:val="restart"/>
            <w:tcBorders/>
            <w:tcMar>
              <w:bottom w:w="0" w:type="dxa"/>
            </w:tcMar>
            <w:vAlign w:val="center"/>
          </w:tcPr>
          <w:p>
            <w:pPr>
              <w:pStyle w:val="TableContents"/>
              <w:bidi w:val="0"/>
              <w:spacing w:before="0" w:after="283"/>
              <w:jc w:val="left"/>
              <w:rPr/>
            </w:pPr>
            <w:r>
              <w:rPr/>
              <w:t> </w:t>
            </w:r>
          </w:p>
        </w:tc>
        <w:tc>
          <w:tcPr>
            <w:tcW w:w="4250" w:type="dxa"/>
            <w:vMerge w:val="restart"/>
            <w:tcBorders/>
            <w:tcMar>
              <w:bottom w:w="0" w:type="dxa"/>
            </w:tcMar>
            <w:vAlign w:val="center"/>
          </w:tcPr>
          <w:p>
            <w:pPr>
              <w:pStyle w:val="TableContents"/>
              <w:bidi w:val="0"/>
              <w:spacing w:before="0" w:after="0"/>
              <w:jc w:val="center"/>
              <w:rPr/>
            </w:pPr>
            <w:r>
              <w:rPr/>
              <w:t>Director</w:t>
            </w:r>
          </w:p>
        </w:tc>
        <w:tc>
          <w:tcPr>
            <w:tcW w:w="60" w:type="dxa"/>
            <w:vMerge w:val="restart"/>
            <w:tcBorders/>
            <w:tcMar>
              <w:bottom w:w="0" w:type="dxa"/>
            </w:tcMar>
            <w:vAlign w:val="center"/>
          </w:tcPr>
          <w:p>
            <w:pPr>
              <w:pStyle w:val="TableContents"/>
              <w:bidi w:val="0"/>
              <w:spacing w:before="0" w:after="283"/>
              <w:jc w:val="left"/>
              <w:rPr/>
            </w:pPr>
            <w:r>
              <w:rPr/>
              <w:t> </w:t>
            </w:r>
          </w:p>
        </w:tc>
        <w:tc>
          <w:tcPr>
            <w:tcW w:w="1550" w:type="dxa"/>
            <w:vMerge w:val="restart"/>
            <w:tcBorders/>
            <w:tcMar>
              <w:bottom w:w="0" w:type="dxa"/>
            </w:tcMar>
            <w:vAlign w:val="center"/>
          </w:tcPr>
          <w:p>
            <w:pPr>
              <w:pStyle w:val="TableContents"/>
              <w:bidi w:val="0"/>
              <w:spacing w:before="0" w:after="0"/>
              <w:jc w:val="center"/>
              <w:rPr/>
            </w:pPr>
            <w:r>
              <w:rPr/>
              <w:t>March 27, 2024</w:t>
            </w:r>
          </w:p>
        </w:tc>
      </w:tr>
      <w:tr>
        <w:trPr/>
        <w:tc>
          <w:tcPr>
            <w:tcW w:w="2345" w:type="dxa"/>
            <w:tcBorders/>
            <w:tcMar>
              <w:bottom w:w="0" w:type="dxa"/>
            </w:tcMar>
            <w:vAlign w:val="center"/>
          </w:tcPr>
          <w:p>
            <w:pPr>
              <w:pStyle w:val="TableContents"/>
              <w:bidi w:val="0"/>
              <w:spacing w:before="0" w:after="283"/>
              <w:jc w:val="center"/>
              <w:rPr/>
            </w:pPr>
            <w:r>
              <w:rPr/>
              <w:t> </w:t>
            </w:r>
            <w:r>
              <w:rPr/>
              <w:t>Stephen White</w:t>
            </w:r>
          </w:p>
        </w:tc>
        <w:tc>
          <w:tcPr>
            <w:tcW w:w="60" w:type="dxa"/>
            <w:vMerge w:val="continue"/>
            <w:tcBorders/>
            <w:tcMar>
              <w:bottom w:w="0" w:type="dxa"/>
            </w:tcMar>
            <w:vAlign w:val="center"/>
          </w:tcPr>
          <w:p>
            <w:pPr>
              <w:pStyle w:val="Normal"/>
              <w:bidi w:val="0"/>
              <w:jc w:val="left"/>
              <w:rPr/>
            </w:pPr>
            <w:r>
              <w:rPr/>
            </w:r>
          </w:p>
        </w:tc>
        <w:tc>
          <w:tcPr>
            <w:tcW w:w="425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550" w:type="dxa"/>
            <w:vMerge w:val="continue"/>
            <w:tcBorders/>
            <w:tcMar>
              <w:bottom w:w="0" w:type="dxa"/>
            </w:tcMar>
            <w:vAlign w:val="center"/>
          </w:tcPr>
          <w:p>
            <w:pPr>
              <w:pStyle w:val="Normal"/>
              <w:bidi w:val="0"/>
              <w:jc w:val="left"/>
              <w:rPr/>
            </w:pPr>
            <w:r>
              <w:rPr/>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12" w:space="0" w:color="000000"/>
            </w:tcBorders>
            <w:vAlign w:val="center"/>
          </w:tcPr>
          <w:p>
            <w:pPr>
              <w:pStyle w:val="TableContents"/>
              <w:bidi w:val="0"/>
              <w:spacing w:before="0" w:after="0"/>
              <w:jc w:val="center"/>
              <w:rPr/>
            </w:pPr>
            <w:r>
              <w:rPr/>
              <w:t>/s/ Richard Zannino</w:t>
            </w:r>
          </w:p>
        </w:tc>
        <w:tc>
          <w:tcPr>
            <w:tcW w:w="60" w:type="dxa"/>
            <w:vMerge w:val="restart"/>
            <w:tcBorders/>
            <w:tcMar>
              <w:bottom w:w="0" w:type="dxa"/>
            </w:tcMar>
            <w:vAlign w:val="center"/>
          </w:tcPr>
          <w:p>
            <w:pPr>
              <w:pStyle w:val="TableContents"/>
              <w:bidi w:val="0"/>
              <w:spacing w:before="0" w:after="283"/>
              <w:jc w:val="left"/>
              <w:rPr/>
            </w:pPr>
            <w:r>
              <w:rPr/>
              <w:t> </w:t>
            </w:r>
          </w:p>
        </w:tc>
        <w:tc>
          <w:tcPr>
            <w:tcW w:w="4250" w:type="dxa"/>
            <w:vMerge w:val="restart"/>
            <w:tcBorders/>
            <w:tcMar>
              <w:bottom w:w="0" w:type="dxa"/>
            </w:tcMar>
            <w:vAlign w:val="center"/>
          </w:tcPr>
          <w:p>
            <w:pPr>
              <w:pStyle w:val="TableContents"/>
              <w:bidi w:val="0"/>
              <w:spacing w:before="0" w:after="0"/>
              <w:jc w:val="center"/>
              <w:rPr/>
            </w:pPr>
            <w:r>
              <w:rPr/>
              <w:t>Director</w:t>
            </w:r>
          </w:p>
        </w:tc>
        <w:tc>
          <w:tcPr>
            <w:tcW w:w="60" w:type="dxa"/>
            <w:vMerge w:val="restart"/>
            <w:tcBorders/>
            <w:tcMar>
              <w:bottom w:w="0" w:type="dxa"/>
            </w:tcMar>
            <w:vAlign w:val="center"/>
          </w:tcPr>
          <w:p>
            <w:pPr>
              <w:pStyle w:val="TableContents"/>
              <w:bidi w:val="0"/>
              <w:spacing w:before="0" w:after="283"/>
              <w:jc w:val="left"/>
              <w:rPr/>
            </w:pPr>
            <w:r>
              <w:rPr/>
              <w:t> </w:t>
            </w:r>
          </w:p>
        </w:tc>
        <w:tc>
          <w:tcPr>
            <w:tcW w:w="1550" w:type="dxa"/>
            <w:vMerge w:val="restart"/>
            <w:tcBorders/>
            <w:tcMar>
              <w:bottom w:w="0" w:type="dxa"/>
            </w:tcMar>
            <w:vAlign w:val="center"/>
          </w:tcPr>
          <w:p>
            <w:pPr>
              <w:pStyle w:val="TableContents"/>
              <w:bidi w:val="0"/>
              <w:spacing w:before="0" w:after="0"/>
              <w:jc w:val="center"/>
              <w:rPr/>
            </w:pPr>
            <w:r>
              <w:rPr/>
              <w:t>March 27, 2024</w:t>
            </w:r>
          </w:p>
        </w:tc>
      </w:tr>
      <w:tr>
        <w:trPr/>
        <w:tc>
          <w:tcPr>
            <w:tcW w:w="2345" w:type="dxa"/>
            <w:tcBorders/>
            <w:tcMar>
              <w:bottom w:w="0" w:type="dxa"/>
            </w:tcMar>
            <w:vAlign w:val="center"/>
          </w:tcPr>
          <w:p>
            <w:pPr>
              <w:pStyle w:val="TableContents"/>
              <w:bidi w:val="0"/>
              <w:spacing w:before="0" w:after="283"/>
              <w:jc w:val="center"/>
              <w:rPr/>
            </w:pPr>
            <w:r>
              <w:rPr/>
              <w:t> </w:t>
            </w:r>
            <w:r>
              <w:rPr/>
              <w:t>Richard Zannino</w:t>
            </w:r>
          </w:p>
        </w:tc>
        <w:tc>
          <w:tcPr>
            <w:tcW w:w="60" w:type="dxa"/>
            <w:vMerge w:val="continue"/>
            <w:tcBorders/>
            <w:tcMar>
              <w:bottom w:w="0" w:type="dxa"/>
            </w:tcMar>
            <w:vAlign w:val="center"/>
          </w:tcPr>
          <w:p>
            <w:pPr>
              <w:pStyle w:val="Normal"/>
              <w:bidi w:val="0"/>
              <w:jc w:val="left"/>
              <w:rPr/>
            </w:pPr>
            <w:r>
              <w:rPr/>
            </w:r>
          </w:p>
        </w:tc>
        <w:tc>
          <w:tcPr>
            <w:tcW w:w="4250" w:type="dxa"/>
            <w:vMerge w:val="continue"/>
            <w:tcBorders/>
            <w:tcMar>
              <w:bottom w:w="0" w:type="dxa"/>
            </w:tcMar>
            <w:vAlign w:val="center"/>
          </w:tcPr>
          <w:p>
            <w:pPr>
              <w:pStyle w:val="Normal"/>
              <w:bidi w:val="0"/>
              <w:jc w:val="left"/>
              <w:rPr/>
            </w:pPr>
            <w:r>
              <w:rPr/>
            </w:r>
          </w:p>
        </w:tc>
        <w:tc>
          <w:tcPr>
            <w:tcW w:w="60" w:type="dxa"/>
            <w:vMerge w:val="continue"/>
            <w:tcBorders/>
            <w:tcMar>
              <w:bottom w:w="0" w:type="dxa"/>
            </w:tcMar>
            <w:vAlign w:val="center"/>
          </w:tcPr>
          <w:p>
            <w:pPr>
              <w:pStyle w:val="Normal"/>
              <w:bidi w:val="0"/>
              <w:jc w:val="left"/>
              <w:rPr/>
            </w:pPr>
            <w:r>
              <w:rPr/>
            </w:r>
          </w:p>
        </w:tc>
        <w:tc>
          <w:tcPr>
            <w:tcW w:w="1550" w:type="dxa"/>
            <w:vMerge w:val="continue"/>
            <w:tcBorders/>
            <w:tcMar>
              <w:bottom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shd w:fill="FFFFFF" w:val="clear"/>
        </w:rPr>
      </w:pPr>
      <w:r>
        <w:rPr>
          <w:rFonts w:ascii="Times New Roman" w:hAnsi="Times New Roman"/>
          <w:color w:val="000000"/>
          <w:sz w:val="16"/>
          <w:shd w:fill="FFFFFF" w:val="clear"/>
        </w:rPr>
        <w:t>86</w:t>
      </w:r>
    </w:p>
    <w:p>
      <w:pPr>
        <w:pStyle w:val="HorizontalLine"/>
        <w:bidi w:val="0"/>
        <w:jc w:val="left"/>
        <w:rPr/>
      </w:pPr>
      <w:r>
        <w:rPr/>
      </w:r>
    </w:p>
    <w:p>
      <w:pPr>
        <w:pStyle w:val="HorizontalLine"/>
        <w:pBdr>
          <w:bottom w:val="single" w:sz="12" w:space="0" w:color="808080"/>
        </w:pBdr>
        <w:bidi w:val="0"/>
        <w:jc w:val="left"/>
        <w:rPr/>
      </w:pPr>
      <w:r>
        <w:rPr/>
      </w:r>
      <w:bookmarkStart w:id="62" w:name="ef20015294_ex21-1.htm"/>
      <w:bookmarkStart w:id="63" w:name="ksef20015294_ex211"/>
      <w:bookmarkStart w:id="64" w:name="ef20015294_ex21-1.htm"/>
      <w:bookmarkStart w:id="65" w:name="ksef20015294_ex211"/>
      <w:bookmarkEnd w:id="64"/>
      <w:bookmarkEnd w:id="65"/>
      <w:r>
        <w:br w:type="page"/>
      </w:r>
    </w:p>
    <w:p>
      <w:pPr>
        <w:pStyle w:val="TextBody"/>
        <w:bidi w:val="0"/>
        <w:spacing w:before="0" w:after="0"/>
        <w:ind w:left="0" w:right="0" w:firstLine="720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SUBSIDIARIES OF OLLIE’S BARGAIN OUTLET HOLDINGS, INC.</w:t>
      </w:r>
    </w:p>
    <w:p>
      <w:pPr>
        <w:pStyle w:val="Normal"/>
        <w:bidi w:val="0"/>
        <w:spacing w:before="0" w:after="0"/>
        <w:jc w:val="left"/>
        <w:rPr>
          <w:sz w:val="4"/>
          <w:szCs w:val="4"/>
        </w:rPr>
      </w:pPr>
      <w:r>
        <w:rPr>
          <w:sz w:val="4"/>
          <w:szCs w:val="4"/>
        </w:rPr>
      </w:r>
      <w:bookmarkStart w:id="66" w:name="z4587701c87f64dea84ae66025c053116"/>
      <w:bookmarkStart w:id="67" w:name="z4587701c87f64dea84ae66025c053116"/>
      <w:bookmarkEnd w:id="67"/>
    </w:p>
    <w:tbl>
      <w:tblPr>
        <w:tblW w:w="3858" w:type="dxa"/>
        <w:jc w:val="left"/>
        <w:tblInd w:w="0" w:type="dxa"/>
        <w:tblLayout w:type="fixed"/>
        <w:tblCellMar>
          <w:top w:w="0" w:type="dxa"/>
          <w:left w:w="0" w:type="dxa"/>
          <w:bottom w:w="0" w:type="dxa"/>
          <w:right w:w="0" w:type="dxa"/>
        </w:tblCellMar>
      </w:tblPr>
      <w:tblGrid>
        <w:gridCol w:w="23"/>
        <w:gridCol w:w="2240"/>
        <w:gridCol w:w="60"/>
        <w:gridCol w:w="1535"/>
      </w:tblGrid>
      <w:tr>
        <w:trPr/>
        <w:tc>
          <w:tcPr>
            <w:tcW w:w="2263" w:type="dxa"/>
            <w:gridSpan w:val="2"/>
            <w:tcBorders/>
            <w:vAlign w:val="center"/>
          </w:tcPr>
          <w:p>
            <w:pPr>
              <w:pStyle w:val="TableContents"/>
              <w:bidi w:val="0"/>
              <w:spacing w:before="0" w:after="0"/>
              <w:jc w:val="left"/>
              <w:rPr/>
            </w:pPr>
            <w:r>
              <w:rPr/>
              <w:t> </w:t>
            </w:r>
            <w:r>
              <w:rPr>
                <w:b/>
                <w:u w:val="single"/>
              </w:rPr>
              <w:t>Subsidiary</w:t>
            </w:r>
            <w:r>
              <w:rPr/>
              <w:t xml:space="preserve"> </w:t>
              <w:br/>
              <w:t>Bargain Parent, Inc.</w:t>
            </w:r>
          </w:p>
        </w:tc>
        <w:tc>
          <w:tcPr>
            <w:tcW w:w="6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xml:space="preserve">  </w:t>
            </w:r>
          </w:p>
          <w:p>
            <w:pPr>
              <w:pStyle w:val="TableContents"/>
              <w:bidi w:val="0"/>
              <w:spacing w:before="0" w:after="0"/>
              <w:jc w:val="left"/>
              <w:rPr>
                <w:b/>
              </w:rPr>
            </w:pPr>
            <w:r>
              <w:rPr>
                <w:b/>
              </w:rPr>
              <w:t>State or Other</w:t>
            </w:r>
          </w:p>
          <w:p>
            <w:pPr>
              <w:pStyle w:val="TableContents"/>
              <w:bidi w:val="0"/>
              <w:spacing w:before="0" w:after="0"/>
              <w:jc w:val="left"/>
              <w:rPr>
                <w:b/>
              </w:rPr>
            </w:pPr>
            <w:r>
              <w:rPr>
                <w:b/>
              </w:rPr>
              <w:t xml:space="preserve">Jurisdiction of </w:t>
            </w:r>
          </w:p>
          <w:p>
            <w:pPr>
              <w:pStyle w:val="TableContents"/>
              <w:bidi w:val="0"/>
              <w:spacing w:before="0" w:after="0"/>
              <w:jc w:val="left"/>
              <w:rPr>
                <w:b/>
                <w:u w:val="single"/>
              </w:rPr>
            </w:pPr>
            <w:r>
              <w:rPr>
                <w:b/>
                <w:u w:val="single"/>
              </w:rPr>
              <w:t>Formation</w:t>
            </w:r>
          </w:p>
          <w:p>
            <w:pPr>
              <w:pStyle w:val="TableContents"/>
              <w:bidi w:val="0"/>
              <w:spacing w:before="0" w:after="0"/>
              <w:jc w:val="left"/>
              <w:rPr>
                <w:b w:val="false"/>
              </w:rPr>
            </w:pPr>
            <w:r>
              <w:rPr>
                <w:b w:val="false"/>
              </w:rPr>
              <w:t>Delaware</w:t>
            </w:r>
          </w:p>
        </w:tc>
      </w:tr>
      <w:tr>
        <w:trPr/>
        <w:tc>
          <w:tcPr>
            <w:tcW w:w="23" w:type="dxa"/>
            <w:tcBorders/>
            <w:vAlign w:val="center"/>
          </w:tcPr>
          <w:p>
            <w:pPr>
              <w:pStyle w:val="TableContents"/>
              <w:bidi w:val="0"/>
              <w:spacing w:before="0" w:after="0"/>
              <w:jc w:val="left"/>
              <w:rPr/>
            </w:pPr>
            <w:r>
              <w:rPr/>
            </w:r>
          </w:p>
        </w:tc>
        <w:tc>
          <w:tcPr>
            <w:tcW w:w="2240" w:type="dxa"/>
            <w:tcBorders/>
            <w:vAlign w:val="center"/>
          </w:tcPr>
          <w:p>
            <w:pPr>
              <w:pStyle w:val="TableContents"/>
              <w:bidi w:val="0"/>
              <w:spacing w:before="0" w:after="283"/>
              <w:jc w:val="left"/>
              <w:rPr/>
            </w:pPr>
            <w:r>
              <w:rPr/>
              <w:t> </w:t>
            </w:r>
            <w:r>
              <w:rPr/>
              <w:t xml:space="preserve">Ollie’s Holdings, Inc.  </w:t>
            </w:r>
          </w:p>
        </w:tc>
        <w:tc>
          <w:tcPr>
            <w:tcW w:w="6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r>
              <w:rPr/>
              <w:t>Delaware</w:t>
            </w:r>
          </w:p>
        </w:tc>
      </w:tr>
    </w:tbl>
    <w:tbl>
      <w:tblPr>
        <w:tblW w:w="4105" w:type="dxa"/>
        <w:jc w:val="left"/>
        <w:tblInd w:w="0" w:type="dxa"/>
        <w:tblLayout w:type="fixed"/>
        <w:tblCellMar>
          <w:top w:w="0" w:type="dxa"/>
          <w:left w:w="0" w:type="dxa"/>
          <w:bottom w:w="0" w:type="dxa"/>
          <w:right w:w="0" w:type="dxa"/>
        </w:tblCellMar>
      </w:tblPr>
      <w:tblGrid>
        <w:gridCol w:w="60"/>
        <w:gridCol w:w="2645"/>
        <w:gridCol w:w="60"/>
        <w:gridCol w:w="1340"/>
      </w:tblGrid>
      <w:tr>
        <w:trPr/>
        <w:tc>
          <w:tcPr>
            <w:tcW w:w="60"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283"/>
              <w:jc w:val="left"/>
              <w:rPr/>
            </w:pPr>
            <w:r>
              <w:rPr/>
              <w:t> </w:t>
            </w:r>
            <w:r>
              <w:rPr/>
              <w:t>Ollie’s Bargain Outlet, Inc.</w:t>
            </w:r>
          </w:p>
        </w:tc>
        <w:tc>
          <w:tcPr>
            <w:tcW w:w="6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r>
              <w:rPr/>
              <w:t>Pennsylvania</w:t>
            </w:r>
          </w:p>
        </w:tc>
      </w:tr>
      <w:tr>
        <w:trPr/>
        <w:tc>
          <w:tcPr>
            <w:tcW w:w="60" w:type="dxa"/>
            <w:tcBorders/>
            <w:vAlign w:val="center"/>
          </w:tcPr>
          <w:p>
            <w:pPr>
              <w:pStyle w:val="TableContents"/>
              <w:bidi w:val="0"/>
              <w:spacing w:before="0" w:after="283"/>
              <w:jc w:val="left"/>
              <w:rPr/>
            </w:pPr>
            <w:r>
              <w:rPr/>
            </w:r>
          </w:p>
        </w:tc>
        <w:tc>
          <w:tcPr>
            <w:tcW w:w="2645" w:type="dxa"/>
            <w:tcBorders/>
            <w:vAlign w:val="center"/>
          </w:tcPr>
          <w:p>
            <w:pPr>
              <w:pStyle w:val="TableContents"/>
              <w:bidi w:val="0"/>
              <w:spacing w:before="0" w:after="283"/>
              <w:jc w:val="left"/>
              <w:rPr/>
            </w:pPr>
            <w:r>
              <w:rPr/>
              <w:t> </w:t>
            </w:r>
            <w:r>
              <w:rPr/>
              <w:t xml:space="preserve">OBO Ventures, Inc.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r>
              <w:rPr/>
              <w:t>Pennsylvania</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68" w:name="ef20015294_ex23-1.htm"/>
      <w:bookmarkStart w:id="69" w:name="ksef20015294_ex231"/>
      <w:bookmarkStart w:id="70" w:name="ef20015294_ex23-1.htm"/>
      <w:bookmarkStart w:id="71" w:name="ksef20015294_ex231"/>
      <w:bookmarkEnd w:id="70"/>
      <w:bookmarkEnd w:id="7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200"/>
        <w:jc w:val="both"/>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the registration statement (No. 333-205685) on Form S-8 and (No. 333-213514) on Form S-3 of our reports dated March 27, 2024, with respect to the consolidated financial statements of Ollie’s Bargain Outlet Holdings, Inc. and the effectiveness of internal control over financial reporting.</w:t>
      </w:r>
    </w:p>
    <w:p>
      <w:pPr>
        <w:pStyle w:val="TextBody"/>
        <w:bidi w:val="0"/>
        <w:spacing w:before="0" w:after="0"/>
        <w:jc w:val="left"/>
        <w:rPr/>
      </w:pPr>
      <w:r>
        <w:rPr/>
      </w:r>
    </w:p>
    <w:p>
      <w:pPr>
        <w:pStyle w:val="TextBody"/>
        <w:bidi w:val="0"/>
        <w:spacing w:before="10" w:after="283"/>
        <w:jc w:val="left"/>
        <w:rPr/>
      </w:pPr>
      <w:r>
        <w:rPr/>
      </w:r>
    </w:p>
    <w:p>
      <w:pPr>
        <w:pStyle w:val="TextBody"/>
        <w:bidi w:val="0"/>
        <w:spacing w:before="10" w:after="283"/>
        <w:jc w:val="center"/>
        <w:rPr>
          <w:rFonts w:ascii="Times New Roman;Times;serif" w:hAnsi="Times New Roman;Times;serif"/>
          <w:color w:val="000000"/>
          <w:sz w:val="20"/>
        </w:rPr>
      </w:pPr>
      <w:r>
        <w:rPr>
          <w:rFonts w:ascii="Times New Roman;Times;serif" w:hAnsi="Times New Roman;Times;serif"/>
          <w:color w:val="000000"/>
          <w:sz w:val="20"/>
        </w:rPr>
        <w:t>/s/ KPMG LLP</w:t>
      </w:r>
    </w:p>
    <w:p>
      <w:pPr>
        <w:pStyle w:val="TextBody"/>
        <w:bidi w:val="0"/>
        <w:spacing w:before="2" w:after="283"/>
        <w:jc w:val="left"/>
        <w:rPr/>
      </w:pPr>
      <w:r>
        <w:rPr/>
      </w:r>
    </w:p>
    <w:p>
      <w:pPr>
        <w:pStyle w:val="TextBody"/>
        <w:bidi w:val="0"/>
        <w:spacing w:before="1" w:after="283"/>
        <w:ind w:left="115" w:right="70" w:hanging="0"/>
        <w:jc w:val="left"/>
        <w:rPr>
          <w:rFonts w:ascii="Times New Roman;Times;serif" w:hAnsi="Times New Roman;Times;serif"/>
          <w:color w:val="000000"/>
          <w:sz w:val="20"/>
        </w:rPr>
      </w:pPr>
      <w:r>
        <w:rPr>
          <w:rFonts w:ascii="Times New Roman;Times;serif" w:hAnsi="Times New Roman;Times;serif"/>
          <w:color w:val="000000"/>
          <w:sz w:val="20"/>
        </w:rPr>
        <w:t>Harrisburg, Pennsylvania</w:t>
      </w:r>
    </w:p>
    <w:p>
      <w:pPr>
        <w:pStyle w:val="TextBody"/>
        <w:bidi w:val="0"/>
        <w:spacing w:before="1" w:after="283"/>
        <w:ind w:left="115" w:right="70" w:hanging="0"/>
        <w:jc w:val="left"/>
        <w:rPr>
          <w:rFonts w:ascii="Times New Roman;Times;serif" w:hAnsi="Times New Roman;Times;serif"/>
          <w:color w:val="000000"/>
          <w:sz w:val="20"/>
        </w:rPr>
      </w:pPr>
      <w:r>
        <w:rPr>
          <w:rFonts w:ascii="Times New Roman;Times;serif" w:hAnsi="Times New Roman;Times;serif"/>
          <w:color w:val="000000"/>
          <w:sz w:val="20"/>
        </w:rPr>
        <w:t>March 27, 2024</w:t>
      </w:r>
    </w:p>
    <w:p>
      <w:pPr>
        <w:pStyle w:val="TextBody"/>
        <w:bidi w:val="0"/>
        <w:spacing w:before="1" w:after="283"/>
        <w:ind w:left="115" w:right="70" w:hanging="0"/>
        <w:jc w:val="left"/>
        <w:rPr>
          <w:rFonts w:ascii="Times New Roman;Times;serif" w:hAnsi="Times New Roman;Times;serif"/>
          <w:sz w:val="20"/>
        </w:rPr>
      </w:pPr>
      <w:r>
        <w:rPr>
          <w:rFonts w:ascii="Times New Roman;Times;serif" w:hAnsi="Times New Roman;Times;serif"/>
          <w:sz w:val="20"/>
        </w:rPr>
      </w:r>
    </w:p>
    <w:p>
      <w:pPr>
        <w:pStyle w:val="HorizontalLine"/>
        <w:pBdr>
          <w:bottom w:val="single" w:sz="12" w:space="0" w:color="808080"/>
        </w:pBdr>
        <w:bidi w:val="0"/>
        <w:spacing w:before="1" w:after="283"/>
        <w:ind w:left="115" w:right="70" w:hanging="0"/>
        <w:jc w:val="left"/>
        <w:rPr/>
      </w:pPr>
      <w:r>
        <w:rPr/>
      </w:r>
    </w:p>
    <w:p>
      <w:pPr>
        <w:pStyle w:val="HorizontalLine"/>
        <w:pBdr>
          <w:bottom w:val="single" w:sz="12" w:space="0" w:color="808080"/>
        </w:pBdr>
        <w:bidi w:val="0"/>
        <w:jc w:val="left"/>
        <w:rPr/>
      </w:pPr>
      <w:r>
        <w:rPr/>
      </w:r>
      <w:bookmarkStart w:id="72" w:name="ef20015294_ex31-1.htm"/>
      <w:bookmarkStart w:id="73" w:name="ksef20015294_ex311"/>
      <w:bookmarkStart w:id="74" w:name="ef20015294_ex31-1.htm"/>
      <w:bookmarkStart w:id="75" w:name="ksef20015294_ex311"/>
      <w:bookmarkEnd w:id="74"/>
      <w:bookmarkEnd w:id="7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Exhibit 31.1 </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76" w:name="toc_kk72201_2"/>
      <w:bookmarkStart w:id="77" w:name="kk72201_certification_of_chief_executi__"/>
      <w:bookmarkEnd w:id="76"/>
      <w:bookmarkEnd w:id="77"/>
      <w:r>
        <w:rPr>
          <w:rFonts w:ascii="Times New Roman" w:hAnsi="Times New Roman"/>
          <w:b/>
          <w:color w:val="000000"/>
          <w:sz w:val="20"/>
        </w:rPr>
        <w:t>CERTIFICATIONS</w:t>
      </w:r>
    </w:p>
    <w:p>
      <w:pPr>
        <w:pStyle w:val="TextBody"/>
        <w:bidi w:val="0"/>
        <w:spacing w:before="0" w:after="0"/>
        <w:jc w:val="center"/>
        <w:rPr>
          <w:b/>
          <w:color w:val="000000"/>
        </w:rPr>
      </w:pPr>
      <w:r>
        <w:rPr>
          <w:b/>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John Swygert,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75f6fe4592c149bf9d3f73db9c2cbac6"/>
      <w:bookmarkStart w:id="79" w:name="z75f6fe4592c149bf9d3f73db9c2cbac6"/>
      <w:bookmarkEnd w:id="79"/>
    </w:p>
    <w:tbl>
      <w:tblPr>
        <w:tblW w:w="8778" w:type="dxa"/>
        <w:jc w:val="left"/>
        <w:tblInd w:w="0" w:type="dxa"/>
        <w:tblLayout w:type="fixed"/>
        <w:tblCellMar>
          <w:top w:w="0" w:type="dxa"/>
          <w:left w:w="0" w:type="dxa"/>
          <w:bottom w:w="0" w:type="dxa"/>
          <w:right w:w="0" w:type="dxa"/>
        </w:tblCellMar>
      </w:tblPr>
      <w:tblGrid>
        <w:gridCol w:w="38"/>
        <w:gridCol w:w="200"/>
        <w:gridCol w:w="854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8540" w:type="dxa"/>
            <w:tcBorders/>
            <w:vAlign w:val="center"/>
          </w:tcPr>
          <w:p>
            <w:pPr>
              <w:pStyle w:val="TableContents"/>
              <w:bidi w:val="0"/>
              <w:spacing w:before="0" w:after="0"/>
              <w:jc w:val="left"/>
              <w:rPr/>
            </w:pPr>
            <w:r>
              <w:rPr/>
              <w:t>I have reviewed this annual report on Form 10-K of Ollie’s Bargain Outlet Holdings,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351b42f259cc42a18ca54967308f7689"/>
      <w:bookmarkStart w:id="81" w:name="z351b42f259cc42a18ca54967308f7689"/>
      <w:bookmarkEnd w:id="81"/>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0"/>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23a14f9d715048e1aa70afd62e8c44ee"/>
      <w:bookmarkStart w:id="83" w:name="z23a14f9d715048e1aa70afd62e8c44ee"/>
      <w:bookmarkEnd w:id="83"/>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24edbdf8a9ae40c2b76233f3ac9c3308"/>
      <w:bookmarkStart w:id="85" w:name="z24edbdf8a9ae40c2b76233f3ac9c3308"/>
      <w:bookmarkEnd w:id="85"/>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0"/>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22db6ccf98c44219aed7356844805d14"/>
      <w:bookmarkStart w:id="87" w:name="z22db6ccf98c44219aed7356844805d14"/>
      <w:bookmarkEnd w:id="87"/>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8414f9982cd144dcba0fd777e2f66876"/>
      <w:bookmarkStart w:id="89" w:name="z8414f9982cd144dcba0fd777e2f66876"/>
      <w:bookmarkEnd w:id="89"/>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f29588fdd0c94d18aa1447b0d4715b9d"/>
      <w:bookmarkStart w:id="91" w:name="zf29588fdd0c94d18aa1447b0d4715b9d"/>
      <w:bookmarkEnd w:id="91"/>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4adeafac3eba413eb954b993a51d0267"/>
      <w:bookmarkStart w:id="93" w:name="z4adeafac3eba413eb954b993a51d0267"/>
      <w:bookmarkEnd w:id="93"/>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8ce75e18d8804c809ff056e56d9e9155"/>
      <w:bookmarkStart w:id="95" w:name="z8ce75e18d8804c809ff056e56d9e9155"/>
      <w:bookmarkEnd w:id="95"/>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0"/>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f2ae668285334242be936d025e61650d"/>
      <w:bookmarkStart w:id="97" w:name="zf2ae668285334242be936d025e61650d"/>
      <w:bookmarkEnd w:id="97"/>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974e3ec70a544a449e5398b97d10bd62"/>
      <w:bookmarkStart w:id="99" w:name="z974e3ec70a544a449e5398b97d10bd62"/>
      <w:bookmarkEnd w:id="99"/>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0" w:name="ze360aa1eef744b54bc1026f531548952"/>
      <w:bookmarkStart w:id="101" w:name="ze360aa1eef744b54bc1026f531548952"/>
      <w:bookmarkEnd w:id="101"/>
    </w:p>
    <w:tbl>
      <w:tblPr>
        <w:tblW w:w="5725" w:type="dxa"/>
        <w:jc w:val="left"/>
        <w:tblInd w:w="0" w:type="dxa"/>
        <w:tblLayout w:type="fixed"/>
        <w:tblCellMar>
          <w:top w:w="0" w:type="dxa"/>
          <w:left w:w="0" w:type="dxa"/>
          <w:bottom w:w="0" w:type="dxa"/>
          <w:right w:w="0" w:type="dxa"/>
        </w:tblCellMar>
      </w:tblPr>
      <w:tblGrid>
        <w:gridCol w:w="2105"/>
        <w:gridCol w:w="3620"/>
      </w:tblGrid>
      <w:tr>
        <w:trPr/>
        <w:tc>
          <w:tcPr>
            <w:tcW w:w="2105" w:type="dxa"/>
            <w:tcBorders/>
            <w:vAlign w:val="center"/>
          </w:tcPr>
          <w:p>
            <w:pPr>
              <w:pStyle w:val="TableContents"/>
              <w:bidi w:val="0"/>
              <w:spacing w:before="0" w:after="0"/>
              <w:jc w:val="left"/>
              <w:rPr/>
            </w:pPr>
            <w:r>
              <w:rPr/>
              <w:t>Date: March 27, 2024</w:t>
            </w:r>
          </w:p>
        </w:tc>
        <w:tc>
          <w:tcPr>
            <w:tcW w:w="3620" w:type="dxa"/>
            <w:tcBorders>
              <w:bottom w:val="single" w:sz="12" w:space="0" w:color="000000"/>
            </w:tcBorders>
            <w:tcMar>
              <w:bottom w:w="28" w:type="dxa"/>
            </w:tcMar>
            <w:vAlign w:val="center"/>
          </w:tcPr>
          <w:p>
            <w:pPr>
              <w:pStyle w:val="TableContents"/>
              <w:bidi w:val="0"/>
              <w:spacing w:before="0" w:after="0"/>
              <w:jc w:val="left"/>
              <w:rPr>
                <w:bdr w:val="single" w:sz="6" w:space="1" w:color="000000"/>
              </w:rPr>
            </w:pPr>
            <w:r>
              <w:rPr>
                <w:bdr w:val="single" w:sz="6" w:space="1" w:color="000000"/>
              </w:rPr>
              <w:t> </w:t>
            </w:r>
            <w:r>
              <w:rPr>
                <w:bdr w:val="single" w:sz="6" w:space="1" w:color="000000"/>
              </w:rPr>
              <w:t xml:space="preserve">/s/ John Swygert </w:t>
            </w:r>
          </w:p>
        </w:tc>
      </w:tr>
      <w:tr>
        <w:trPr/>
        <w:tc>
          <w:tcPr>
            <w:tcW w:w="210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pPr>
            <w:r>
              <w:rPr/>
              <w:t>John Swygert</w:t>
            </w:r>
          </w:p>
          <w:p>
            <w:pPr>
              <w:pStyle w:val="TableContents"/>
              <w:bidi w:val="0"/>
              <w:spacing w:before="0" w:after="0"/>
              <w:jc w:val="left"/>
              <w:rPr/>
            </w:pPr>
            <w:r>
              <w:rPr/>
              <w:t>President and Chief Executive Officer</w:t>
            </w:r>
          </w:p>
          <w:p>
            <w:pPr>
              <w:pStyle w:val="TableContents"/>
              <w:bidi w:val="0"/>
              <w:spacing w:before="0" w:after="0"/>
              <w:jc w:val="left"/>
              <w:rPr/>
            </w:pPr>
            <w:r>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02" w:name="ef20015294_ex31-2.htm"/>
      <w:bookmarkStart w:id="103" w:name="ksef20015294_ex312"/>
      <w:bookmarkStart w:id="104" w:name="ef20015294_ex31-2.htm"/>
      <w:bookmarkStart w:id="105" w:name="ksef20015294_ex312"/>
      <w:bookmarkEnd w:id="104"/>
      <w:bookmarkEnd w:id="10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 xml:space="preserve">Exhibit 31.2 </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06" w:name="toc_km72201_2"/>
      <w:bookmarkStart w:id="107" w:name="km72201_certification_of_chief_financi__"/>
      <w:bookmarkEnd w:id="106"/>
      <w:bookmarkEnd w:id="107"/>
      <w:r>
        <w:rPr>
          <w:rFonts w:ascii="Times New Roman" w:hAnsi="Times New Roman"/>
          <w:b/>
          <w:color w:val="000000"/>
          <w:sz w:val="20"/>
        </w:rPr>
        <w:t>CERTIFICATIONS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Robert Helm,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8" w:name="z3b4cf8f4c7f8417c9a4cafa9dcc2077b"/>
      <w:bookmarkStart w:id="109" w:name="z3b4cf8f4c7f8417c9a4cafa9dcc2077b"/>
      <w:bookmarkEnd w:id="109"/>
    </w:p>
    <w:tbl>
      <w:tblPr>
        <w:tblW w:w="8778" w:type="dxa"/>
        <w:jc w:val="left"/>
        <w:tblInd w:w="0" w:type="dxa"/>
        <w:tblLayout w:type="fixed"/>
        <w:tblCellMar>
          <w:top w:w="0" w:type="dxa"/>
          <w:left w:w="0" w:type="dxa"/>
          <w:bottom w:w="0" w:type="dxa"/>
          <w:right w:w="0" w:type="dxa"/>
        </w:tblCellMar>
      </w:tblPr>
      <w:tblGrid>
        <w:gridCol w:w="38"/>
        <w:gridCol w:w="200"/>
        <w:gridCol w:w="854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8540" w:type="dxa"/>
            <w:tcBorders/>
            <w:vAlign w:val="center"/>
          </w:tcPr>
          <w:p>
            <w:pPr>
              <w:pStyle w:val="TableContents"/>
              <w:bidi w:val="0"/>
              <w:spacing w:before="0" w:after="0"/>
              <w:jc w:val="left"/>
              <w:rPr/>
            </w:pPr>
            <w:r>
              <w:rPr/>
              <w:t>I have reviewed this annual report on Form 10-K of Ollie’s Bargain Outlet Holdings,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0" w:name="zd5c697d60dc341a49f8bc48a49fc0e05"/>
      <w:bookmarkStart w:id="111" w:name="zd5c697d60dc341a49f8bc48a49fc0e05"/>
      <w:bookmarkEnd w:id="111"/>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pPr>
            <w:r>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0"/>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2" w:name="z2b8ee0a4ff794d8eb6382d32d277785d"/>
      <w:bookmarkStart w:id="113" w:name="z2b8ee0a4ff794d8eb6382d32d277785d"/>
      <w:bookmarkEnd w:id="113"/>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pPr>
            <w:r>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0"/>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4" w:name="z19c2efaa5920455598101d293c299945"/>
      <w:bookmarkStart w:id="115" w:name="z19c2efaa5920455598101d293c299945"/>
      <w:bookmarkEnd w:id="115"/>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0"/>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6" w:name="zb4df5076db2f444da7b20760863f9027"/>
      <w:bookmarkStart w:id="117" w:name="zb4df5076db2f444da7b20760863f9027"/>
      <w:bookmarkEnd w:id="117"/>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0"/>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0591ed42854641b095ed81719a0c4f4d"/>
      <w:bookmarkStart w:id="119" w:name="z0591ed42854641b095ed81719a0c4f4d"/>
      <w:bookmarkEnd w:id="119"/>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0" w:name="z1a3394760fd84dcca448d49f73320a45"/>
      <w:bookmarkStart w:id="121" w:name="z1a3394760fd84dcca448d49f73320a45"/>
      <w:bookmarkEnd w:id="121"/>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2" w:name="za8adf5b2c5d34d9ca18fa61cb13ad6a7"/>
      <w:bookmarkStart w:id="123" w:name="za8adf5b2c5d34d9ca18fa61cb13ad6a7"/>
      <w:bookmarkEnd w:id="123"/>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z19beb76067944c4abe673d4b57657206"/>
      <w:bookmarkStart w:id="125" w:name="z19beb76067944c4abe673d4b57657206"/>
      <w:bookmarkEnd w:id="125"/>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pPr>
            <w:r>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0"/>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zd9ed4faa4ae04e1eb00151b6fdc1eeea"/>
      <w:bookmarkStart w:id="127" w:name="zd9ed4faa4ae04e1eb00151b6fdc1eeea"/>
      <w:bookmarkEnd w:id="127"/>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8" w:name="z514470afe7f9488aa738ab61dacbbd40"/>
      <w:bookmarkStart w:id="129" w:name="z514470afe7f9488aa738ab61dacbbd40"/>
      <w:bookmarkEnd w:id="129"/>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0" w:name="z833e2104b4284d34b7dd3b3e32cd61d3"/>
      <w:bookmarkStart w:id="131" w:name="z833e2104b4284d34b7dd3b3e32cd61d3"/>
      <w:bookmarkEnd w:id="131"/>
    </w:p>
    <w:tbl>
      <w:tblPr>
        <w:tblW w:w="6835" w:type="dxa"/>
        <w:jc w:val="left"/>
        <w:tblInd w:w="0" w:type="dxa"/>
        <w:tblLayout w:type="fixed"/>
        <w:tblCellMar>
          <w:top w:w="0" w:type="dxa"/>
          <w:left w:w="0" w:type="dxa"/>
          <w:bottom w:w="0" w:type="dxa"/>
          <w:right w:w="0" w:type="dxa"/>
        </w:tblCellMar>
      </w:tblPr>
      <w:tblGrid>
        <w:gridCol w:w="2105"/>
        <w:gridCol w:w="4730"/>
      </w:tblGrid>
      <w:tr>
        <w:trPr/>
        <w:tc>
          <w:tcPr>
            <w:tcW w:w="2105" w:type="dxa"/>
            <w:tcBorders/>
            <w:vAlign w:val="center"/>
          </w:tcPr>
          <w:p>
            <w:pPr>
              <w:pStyle w:val="TableContents"/>
              <w:bidi w:val="0"/>
              <w:spacing w:before="0" w:after="0"/>
              <w:jc w:val="left"/>
              <w:rPr/>
            </w:pPr>
            <w:r>
              <w:rPr/>
              <w:t>Date: March 27, 2024</w:t>
            </w:r>
          </w:p>
        </w:tc>
        <w:tc>
          <w:tcPr>
            <w:tcW w:w="4730" w:type="dxa"/>
            <w:tcBorders>
              <w:bottom w:val="single" w:sz="12" w:space="0" w:color="000000"/>
            </w:tcBorders>
            <w:tcMar>
              <w:bottom w:w="28" w:type="dxa"/>
            </w:tcMar>
            <w:vAlign w:val="center"/>
          </w:tcPr>
          <w:p>
            <w:pPr>
              <w:pStyle w:val="TableContents"/>
              <w:bidi w:val="0"/>
              <w:spacing w:before="0" w:after="0"/>
              <w:jc w:val="left"/>
              <w:rPr>
                <w:bdr w:val="single" w:sz="6" w:space="1" w:color="000000"/>
              </w:rPr>
            </w:pPr>
            <w:r>
              <w:rPr>
                <w:bdr w:val="single" w:sz="6" w:space="1" w:color="000000"/>
              </w:rPr>
              <w:t> </w:t>
            </w:r>
            <w:r>
              <w:rPr>
                <w:bdr w:val="single" w:sz="6" w:space="1" w:color="000000"/>
              </w:rPr>
              <w:t>/s/ Robert Helm</w:t>
            </w:r>
          </w:p>
        </w:tc>
      </w:tr>
      <w:tr>
        <w:trPr/>
        <w:tc>
          <w:tcPr>
            <w:tcW w:w="2105"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pPr>
            <w:r>
              <w:rPr/>
              <w:t>Robert Helm</w:t>
            </w:r>
          </w:p>
          <w:p>
            <w:pPr>
              <w:pStyle w:val="TableContents"/>
              <w:bidi w:val="0"/>
              <w:spacing w:before="0" w:after="0"/>
              <w:jc w:val="left"/>
              <w:rPr/>
            </w:pPr>
            <w:r>
              <w:rPr/>
              <w:t>Senior Vice President and Chief Financial Officer</w:t>
            </w:r>
          </w:p>
          <w:p>
            <w:pPr>
              <w:pStyle w:val="TableContents"/>
              <w:bidi w:val="0"/>
              <w:spacing w:before="0" w:after="0"/>
              <w:jc w:val="left"/>
              <w:rPr/>
            </w:pPr>
            <w:r>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32" w:name="ef20015294_ex32-1.htm"/>
      <w:bookmarkStart w:id="133" w:name="ksef20015294_ex321"/>
      <w:bookmarkStart w:id="134" w:name="ef20015294_ex32-1.htm"/>
      <w:bookmarkStart w:id="135" w:name="ksef20015294_ex321"/>
      <w:bookmarkEnd w:id="134"/>
      <w:bookmarkEnd w:id="13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 </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36" w:name="toc_ko72201_2"/>
      <w:bookmarkStart w:id="137" w:name="ko72201_certification_pursuant_to_18_u__"/>
      <w:bookmarkEnd w:id="136"/>
      <w:bookmarkEnd w:id="137"/>
      <w:r>
        <w:rPr>
          <w:rFonts w:ascii="Times New Roman" w:hAnsi="Times New Roman"/>
          <w:b/>
          <w:color w:val="000000"/>
          <w:sz w:val="20"/>
        </w:rPr>
        <w:t>CERTIFICATION PURSUANT TO 18 U.S.C. SECTION 1350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annual report of Ollie’s Bargain Outlet Holdings, Inc. (the “Company”) on Form 10-K for the fiscal year ended February 3, 2024, as filed with the Securities and Exchange Commission on the date hereof (the “Report”), I, John Swygert, Chief Executive Officer of the Company, certify, pursuant to 18 U.S.C. § 1350, adopted pursuant to §906 of the Sarbanes-Oxley Act of 2002,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8" w:name="z931e210e40e747f4890198414d816864"/>
      <w:bookmarkStart w:id="139" w:name="z931e210e40e747f4890198414d816864"/>
      <w:bookmarkEnd w:id="139"/>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pPr>
            <w:r>
              <w:rPr/>
              <w:t>The Report fully complies with the requirements of Section 13(a) or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0" w:name="z5f816fbcf32a466396d81e64233fb18a"/>
      <w:bookmarkStart w:id="141" w:name="z5f816fbcf32a466396d81e64233fb18a"/>
      <w:bookmarkEnd w:id="141"/>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336800" cy="1295400"/>
                <wp:effectExtent l="0" t="0" r="0" b="0"/>
                <wp:wrapSquare wrapText="right"/>
                <wp:docPr id="4" name="Frame1"/>
                <a:graphic xmlns:a="http://schemas.openxmlformats.org/drawingml/2006/main">
                  <a:graphicData uri="http://schemas.microsoft.com/office/word/2010/wordprocessingShape">
                    <wps:wsp>
                      <wps:cNvSpPr txBox="1"/>
                      <wps:spPr>
                        <a:xfrm>
                          <a:off x="0" y="0"/>
                          <a:ext cx="2336800" cy="1295400"/>
                        </a:xfrm>
                        <a:prstGeom prst="rect"/>
                        <a:solidFill>
                          <a:srgbClr val="FFFFFF"/>
                        </a:solidFill>
                      </wps:spPr>
                      <wps:txbx>
                        <w:txbxContent>
                          <w:tbl>
                            <w:tblPr>
                              <w:tblW w:w="3680" w:type="dxa"/>
                              <w:jc w:val="left"/>
                              <w:tblInd w:w="0" w:type="dxa"/>
                              <w:tblLayout w:type="fixed"/>
                              <w:tblCellMar>
                                <w:top w:w="0" w:type="dxa"/>
                                <w:left w:w="0" w:type="dxa"/>
                                <w:bottom w:w="0" w:type="dxa"/>
                                <w:right w:w="0" w:type="dxa"/>
                              </w:tblCellMar>
                            </w:tblPr>
                            <w:tblGrid>
                              <w:gridCol w:w="60"/>
                              <w:gridCol w:w="3620"/>
                            </w:tblGrid>
                            <w:tr>
                              <w:trPr/>
                              <w:tc>
                                <w:tcPr>
                                  <w:tcW w:w="3680" w:type="dxa"/>
                                  <w:gridSpan w:val="2"/>
                                  <w:tcBorders/>
                                  <w:vAlign w:val="center"/>
                                </w:tcPr>
                                <w:p>
                                  <w:pPr>
                                    <w:pStyle w:val="TableContents"/>
                                    <w:bidi w:val="0"/>
                                    <w:spacing w:before="0" w:after="0"/>
                                    <w:jc w:val="left"/>
                                    <w:rPr/>
                                  </w:pPr>
                                  <w:r>
                                    <w:rPr/>
                                    <w:t>Date: March 27, 2024</w:t>
                                  </w:r>
                                </w:p>
                              </w:tc>
                            </w:tr>
                            <w:tr>
                              <w:trPr/>
                              <w:tc>
                                <w:tcPr>
                                  <w:tcW w:w="368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620" w:type="dxa"/>
                                  <w:tcBorders>
                                    <w:bottom w:val="single" w:sz="12" w:space="0" w:color="000000"/>
                                  </w:tcBorders>
                                  <w:tcMar>
                                    <w:bottom w:w="28" w:type="dxa"/>
                                  </w:tcMar>
                                  <w:vAlign w:val="center"/>
                                </w:tcPr>
                                <w:p>
                                  <w:pPr>
                                    <w:pStyle w:val="TableContents"/>
                                    <w:bidi w:val="0"/>
                                    <w:spacing w:before="0" w:after="0"/>
                                    <w:jc w:val="left"/>
                                    <w:rPr>
                                      <w:bdr w:val="single" w:sz="6" w:space="1" w:color="000000"/>
                                    </w:rPr>
                                  </w:pPr>
                                  <w:r>
                                    <w:rPr>
                                      <w:bdr w:val="single" w:sz="6" w:space="1" w:color="000000"/>
                                    </w:rPr>
                                    <w:t> </w:t>
                                  </w:r>
                                  <w:r>
                                    <w:rPr>
                                      <w:bdr w:val="single" w:sz="6" w:space="1" w:color="000000"/>
                                    </w:rPr>
                                    <w:t>/s/ John Swygert</w:t>
                                  </w:r>
                                </w:p>
                              </w:tc>
                            </w:tr>
                            <w:tr>
                              <w:trPr/>
                              <w:tc>
                                <w:tcPr>
                                  <w:tcW w:w="60" w:type="dxa"/>
                                  <w:tcBorders/>
                                  <w:vAlign w:val="center"/>
                                </w:tcPr>
                                <w:p>
                                  <w:pPr>
                                    <w:pStyle w:val="TableContents"/>
                                    <w:bidi w:val="0"/>
                                    <w:spacing w:before="0" w:after="0"/>
                                    <w:jc w:val="left"/>
                                    <w:rPr/>
                                  </w:pPr>
                                  <w:r>
                                    <w:rPr/>
                                    <w:t> </w:t>
                                  </w:r>
                                </w:p>
                              </w:tc>
                              <w:tc>
                                <w:tcPr>
                                  <w:tcW w:w="3620" w:type="dxa"/>
                                  <w:tcBorders/>
                                  <w:vAlign w:val="center"/>
                                </w:tcPr>
                                <w:p>
                                  <w:pPr>
                                    <w:pStyle w:val="TableContents"/>
                                    <w:bidi w:val="0"/>
                                    <w:spacing w:before="0" w:after="0"/>
                                    <w:jc w:val="left"/>
                                    <w:rPr/>
                                  </w:pPr>
                                  <w:r>
                                    <w:rPr/>
                                    <w:t>John Swygert</w:t>
                                  </w:r>
                                </w:p>
                              </w:tc>
                            </w:tr>
                            <w:tr>
                              <w:trPr/>
                              <w:tc>
                                <w:tcPr>
                                  <w:tcW w:w="60" w:type="dxa"/>
                                  <w:tcBorders/>
                                  <w:vAlign w:val="center"/>
                                </w:tcPr>
                                <w:p>
                                  <w:pPr>
                                    <w:pStyle w:val="TableContents"/>
                                    <w:bidi w:val="0"/>
                                    <w:spacing w:before="0" w:after="0"/>
                                    <w:jc w:val="left"/>
                                    <w:rPr/>
                                  </w:pPr>
                                  <w:r>
                                    <w:rPr/>
                                    <w:t> </w:t>
                                  </w:r>
                                </w:p>
                              </w:tc>
                              <w:tc>
                                <w:tcPr>
                                  <w:tcW w:w="3620" w:type="dxa"/>
                                  <w:tcBorders/>
                                  <w:vAlign w:val="center"/>
                                </w:tcPr>
                                <w:p>
                                  <w:pPr>
                                    <w:pStyle w:val="TableContents"/>
                                    <w:bidi w:val="0"/>
                                    <w:spacing w:before="0" w:after="0"/>
                                    <w:jc w:val="left"/>
                                    <w:rPr/>
                                  </w:pPr>
                                  <w:r>
                                    <w:rPr/>
                                    <w:t>President and Chief Executive Officer</w:t>
                                  </w:r>
                                </w:p>
                              </w:tc>
                            </w:tr>
                          </w:tbl>
                        </w:txbxContent>
                      </wps:txbx>
                      <wps:bodyPr anchor="t" lIns="0" tIns="0" rIns="0" bIns="0">
                        <a:noAutofit/>
                      </wps:bodyPr>
                    </wps:wsp>
                  </a:graphicData>
                </a:graphic>
              </wp:anchor>
            </w:drawing>
          </mc:Choice>
          <mc:Fallback>
            <w:pict>
              <v:rect style="position:absolute;rotation:-0;width:184pt;height:102pt;mso-wrap-distance-left:0pt;mso-wrap-distance-right:0pt;mso-wrap-distance-top:0pt;mso-wrap-distance-bottom:0pt;margin-top:0pt;mso-position-vertical:top;mso-position-vertical-relative:text;margin-left:0pt;mso-position-horizontal:left;mso-position-horizontal-relative:text">
                <v:textbox>
                  <w:txbxContent>
                    <w:tbl>
                      <w:tblPr>
                        <w:tblW w:w="3680" w:type="dxa"/>
                        <w:jc w:val="left"/>
                        <w:tblInd w:w="0" w:type="dxa"/>
                        <w:tblLayout w:type="fixed"/>
                        <w:tblCellMar>
                          <w:top w:w="0" w:type="dxa"/>
                          <w:left w:w="0" w:type="dxa"/>
                          <w:bottom w:w="0" w:type="dxa"/>
                          <w:right w:w="0" w:type="dxa"/>
                        </w:tblCellMar>
                      </w:tblPr>
                      <w:tblGrid>
                        <w:gridCol w:w="60"/>
                        <w:gridCol w:w="3620"/>
                      </w:tblGrid>
                      <w:tr>
                        <w:trPr/>
                        <w:tc>
                          <w:tcPr>
                            <w:tcW w:w="3680" w:type="dxa"/>
                            <w:gridSpan w:val="2"/>
                            <w:tcBorders/>
                            <w:vAlign w:val="center"/>
                          </w:tcPr>
                          <w:p>
                            <w:pPr>
                              <w:pStyle w:val="TableContents"/>
                              <w:bidi w:val="0"/>
                              <w:spacing w:before="0" w:after="0"/>
                              <w:jc w:val="left"/>
                              <w:rPr/>
                            </w:pPr>
                            <w:r>
                              <w:rPr/>
                              <w:t>Date: March 27, 2024</w:t>
                            </w:r>
                          </w:p>
                        </w:tc>
                      </w:tr>
                      <w:tr>
                        <w:trPr/>
                        <w:tc>
                          <w:tcPr>
                            <w:tcW w:w="368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620" w:type="dxa"/>
                            <w:tcBorders>
                              <w:bottom w:val="single" w:sz="12" w:space="0" w:color="000000"/>
                            </w:tcBorders>
                            <w:tcMar>
                              <w:bottom w:w="28" w:type="dxa"/>
                            </w:tcMar>
                            <w:vAlign w:val="center"/>
                          </w:tcPr>
                          <w:p>
                            <w:pPr>
                              <w:pStyle w:val="TableContents"/>
                              <w:bidi w:val="0"/>
                              <w:spacing w:before="0" w:after="0"/>
                              <w:jc w:val="left"/>
                              <w:rPr>
                                <w:bdr w:val="single" w:sz="6" w:space="1" w:color="000000"/>
                              </w:rPr>
                            </w:pPr>
                            <w:r>
                              <w:rPr>
                                <w:bdr w:val="single" w:sz="6" w:space="1" w:color="000000"/>
                              </w:rPr>
                              <w:t> </w:t>
                            </w:r>
                            <w:r>
                              <w:rPr>
                                <w:bdr w:val="single" w:sz="6" w:space="1" w:color="000000"/>
                              </w:rPr>
                              <w:t>/s/ John Swygert</w:t>
                            </w:r>
                          </w:p>
                        </w:tc>
                      </w:tr>
                      <w:tr>
                        <w:trPr/>
                        <w:tc>
                          <w:tcPr>
                            <w:tcW w:w="60" w:type="dxa"/>
                            <w:tcBorders/>
                            <w:vAlign w:val="center"/>
                          </w:tcPr>
                          <w:p>
                            <w:pPr>
                              <w:pStyle w:val="TableContents"/>
                              <w:bidi w:val="0"/>
                              <w:spacing w:before="0" w:after="0"/>
                              <w:jc w:val="left"/>
                              <w:rPr/>
                            </w:pPr>
                            <w:r>
                              <w:rPr/>
                              <w:t> </w:t>
                            </w:r>
                          </w:p>
                        </w:tc>
                        <w:tc>
                          <w:tcPr>
                            <w:tcW w:w="3620" w:type="dxa"/>
                            <w:tcBorders/>
                            <w:vAlign w:val="center"/>
                          </w:tcPr>
                          <w:p>
                            <w:pPr>
                              <w:pStyle w:val="TableContents"/>
                              <w:bidi w:val="0"/>
                              <w:spacing w:before="0" w:after="0"/>
                              <w:jc w:val="left"/>
                              <w:rPr/>
                            </w:pPr>
                            <w:r>
                              <w:rPr/>
                              <w:t>John Swygert</w:t>
                            </w:r>
                          </w:p>
                        </w:tc>
                      </w:tr>
                      <w:tr>
                        <w:trPr/>
                        <w:tc>
                          <w:tcPr>
                            <w:tcW w:w="60" w:type="dxa"/>
                            <w:tcBorders/>
                            <w:vAlign w:val="center"/>
                          </w:tcPr>
                          <w:p>
                            <w:pPr>
                              <w:pStyle w:val="TableContents"/>
                              <w:bidi w:val="0"/>
                              <w:spacing w:before="0" w:after="0"/>
                              <w:jc w:val="left"/>
                              <w:rPr/>
                            </w:pPr>
                            <w:r>
                              <w:rPr/>
                              <w:t> </w:t>
                            </w:r>
                          </w:p>
                        </w:tc>
                        <w:tc>
                          <w:tcPr>
                            <w:tcW w:w="3620" w:type="dxa"/>
                            <w:tcBorders/>
                            <w:vAlign w:val="center"/>
                          </w:tcPr>
                          <w:p>
                            <w:pPr>
                              <w:pStyle w:val="TableContents"/>
                              <w:bidi w:val="0"/>
                              <w:spacing w:before="0" w:after="0"/>
                              <w:jc w:val="left"/>
                              <w:rPr/>
                            </w:pPr>
                            <w:r>
                              <w:rPr/>
                              <w:t>President and Chief Executive Officer</w:t>
                            </w:r>
                          </w:p>
                        </w:tc>
                      </w:tr>
                    </w:tbl>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42" w:name="ef20015294_ex32-2.htm"/>
      <w:bookmarkStart w:id="143" w:name="ksef20015294_ex322"/>
      <w:bookmarkStart w:id="144" w:name="ef20015294_ex32-2.htm"/>
      <w:bookmarkStart w:id="145" w:name="ksef20015294_ex322"/>
      <w:bookmarkEnd w:id="144"/>
      <w:bookmarkEnd w:id="14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annual report of Ollie’s Bargain Outlet Holdings, Inc. (the “Company”) on Form 10-K for the fiscal year ended February 3, 2024, as filed with the Securities and Exchange Commission on the date hereof (the “Report”), I, Robert Helm, Chief Financial Officer of the Company, certify, pursuant to 18 U.S.C. § 1350, adopted pursuant to §906 of the Sarbanes-Oxley Act of 2002,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6" w:name="ze6b4bed596e64da49b6d5cee9974b9a5"/>
      <w:bookmarkStart w:id="147" w:name="ze6b4bed596e64da49b6d5cee9974b9a5"/>
      <w:bookmarkEnd w:id="147"/>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pPr>
            <w:r>
              <w:rPr/>
              <w:t>The Report fully complies with the requirements of Section 13(a) or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8" w:name="z6b35be451d83402e8ee8dcc051cbfc02"/>
      <w:bookmarkStart w:id="149" w:name="z6b35be451d83402e8ee8dcc051cbfc02"/>
      <w:bookmarkEnd w:id="149"/>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41450" cy="1447800"/>
                <wp:effectExtent l="0" t="0" r="0" b="0"/>
                <wp:wrapSquare wrapText="right"/>
                <wp:docPr id="5" name="Frame2"/>
                <a:graphic xmlns:a="http://schemas.openxmlformats.org/drawingml/2006/main">
                  <a:graphicData uri="http://schemas.microsoft.com/office/word/2010/wordprocessingShape">
                    <wps:wsp>
                      <wps:cNvSpPr txBox="1"/>
                      <wps:spPr>
                        <a:xfrm>
                          <a:off x="0" y="0"/>
                          <a:ext cx="1441450" cy="1447800"/>
                        </a:xfrm>
                        <a:prstGeom prst="rect"/>
                        <a:solidFill>
                          <a:srgbClr val="FFFFFF"/>
                        </a:solidFill>
                      </wps:spPr>
                      <wps:txbx>
                        <w:txbxContent>
                          <w:tbl>
                            <w:tblPr>
                              <w:tblW w:w="2270" w:type="dxa"/>
                              <w:jc w:val="left"/>
                              <w:tblInd w:w="0" w:type="dxa"/>
                              <w:tblLayout w:type="fixed"/>
                              <w:tblCellMar>
                                <w:top w:w="0" w:type="dxa"/>
                                <w:left w:w="0" w:type="dxa"/>
                                <w:bottom w:w="0" w:type="dxa"/>
                                <w:right w:w="0" w:type="dxa"/>
                              </w:tblCellMar>
                            </w:tblPr>
                            <w:tblGrid>
                              <w:gridCol w:w="60"/>
                              <w:gridCol w:w="2210"/>
                            </w:tblGrid>
                            <w:tr>
                              <w:trPr/>
                              <w:tc>
                                <w:tcPr>
                                  <w:tcW w:w="2270" w:type="dxa"/>
                                  <w:gridSpan w:val="2"/>
                                  <w:tcBorders/>
                                  <w:vAlign w:val="center"/>
                                </w:tcPr>
                                <w:p>
                                  <w:pPr>
                                    <w:pStyle w:val="TableContents"/>
                                    <w:bidi w:val="0"/>
                                    <w:spacing w:before="0" w:after="0"/>
                                    <w:jc w:val="left"/>
                                    <w:rPr/>
                                  </w:pPr>
                                  <w:r>
                                    <w:rPr/>
                                    <w:t>Date: March 27, 2024</w:t>
                                  </w:r>
                                </w:p>
                              </w:tc>
                            </w:tr>
                            <w:tr>
                              <w:trPr/>
                              <w:tc>
                                <w:tcPr>
                                  <w:tcW w:w="2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0"/>
                                    <w:jc w:val="left"/>
                                    <w:rPr>
                                      <w:bdr w:val="single" w:sz="6" w:space="1" w:color="000000"/>
                                    </w:rPr>
                                  </w:pPr>
                                  <w:r>
                                    <w:rPr>
                                      <w:bdr w:val="single" w:sz="6" w:space="1" w:color="000000"/>
                                    </w:rPr>
                                    <w:t> </w:t>
                                  </w:r>
                                  <w:r>
                                    <w:rPr>
                                      <w:bdr w:val="single" w:sz="6" w:space="1" w:color="000000"/>
                                    </w:rPr>
                                    <w:t>/s/ Robert Helm</w:t>
                                  </w:r>
                                </w:p>
                              </w:tc>
                            </w:tr>
                            <w:tr>
                              <w:trPr/>
                              <w:tc>
                                <w:tcPr>
                                  <w:tcW w:w="6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Robert Helm</w:t>
                                  </w:r>
                                </w:p>
                              </w:tc>
                            </w:tr>
                            <w:tr>
                              <w:trPr/>
                              <w:tc>
                                <w:tcPr>
                                  <w:tcW w:w="6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Chief Financial Officer</w:t>
                                  </w:r>
                                </w:p>
                              </w:tc>
                            </w:tr>
                          </w:tbl>
                        </w:txbxContent>
                      </wps:txbx>
                      <wps:bodyPr anchor="t" lIns="0" tIns="0" rIns="0" bIns="0">
                        <a:noAutofit/>
                      </wps:bodyPr>
                    </wps:wsp>
                  </a:graphicData>
                </a:graphic>
              </wp:anchor>
            </w:drawing>
          </mc:Choice>
          <mc:Fallback>
            <w:pict>
              <v:rect style="position:absolute;rotation:-0;width:113.5pt;height:114pt;mso-wrap-distance-left:0pt;mso-wrap-distance-right:0pt;mso-wrap-distance-top:0pt;mso-wrap-distance-bottom:0pt;margin-top:0pt;mso-position-vertical:top;mso-position-vertical-relative:text;margin-left:0pt;mso-position-horizontal:left;mso-position-horizontal-relative:text">
                <v:textbox>
                  <w:txbxContent>
                    <w:tbl>
                      <w:tblPr>
                        <w:tblW w:w="2270" w:type="dxa"/>
                        <w:jc w:val="left"/>
                        <w:tblInd w:w="0" w:type="dxa"/>
                        <w:tblLayout w:type="fixed"/>
                        <w:tblCellMar>
                          <w:top w:w="0" w:type="dxa"/>
                          <w:left w:w="0" w:type="dxa"/>
                          <w:bottom w:w="0" w:type="dxa"/>
                          <w:right w:w="0" w:type="dxa"/>
                        </w:tblCellMar>
                      </w:tblPr>
                      <w:tblGrid>
                        <w:gridCol w:w="60"/>
                        <w:gridCol w:w="2210"/>
                      </w:tblGrid>
                      <w:tr>
                        <w:trPr/>
                        <w:tc>
                          <w:tcPr>
                            <w:tcW w:w="2270" w:type="dxa"/>
                            <w:gridSpan w:val="2"/>
                            <w:tcBorders/>
                            <w:vAlign w:val="center"/>
                          </w:tcPr>
                          <w:p>
                            <w:pPr>
                              <w:pStyle w:val="TableContents"/>
                              <w:bidi w:val="0"/>
                              <w:spacing w:before="0" w:after="0"/>
                              <w:jc w:val="left"/>
                              <w:rPr/>
                            </w:pPr>
                            <w:r>
                              <w:rPr/>
                              <w:t>Date: March 27, 2024</w:t>
                            </w:r>
                          </w:p>
                        </w:tc>
                      </w:tr>
                      <w:tr>
                        <w:trPr/>
                        <w:tc>
                          <w:tcPr>
                            <w:tcW w:w="2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0"/>
                              <w:jc w:val="left"/>
                              <w:rPr>
                                <w:bdr w:val="single" w:sz="6" w:space="1" w:color="000000"/>
                              </w:rPr>
                            </w:pPr>
                            <w:r>
                              <w:rPr>
                                <w:bdr w:val="single" w:sz="6" w:space="1" w:color="000000"/>
                              </w:rPr>
                              <w:t> </w:t>
                            </w:r>
                            <w:r>
                              <w:rPr>
                                <w:bdr w:val="single" w:sz="6" w:space="1" w:color="000000"/>
                              </w:rPr>
                              <w:t>/s/ Robert Helm</w:t>
                            </w:r>
                          </w:p>
                        </w:tc>
                      </w:tr>
                      <w:tr>
                        <w:trPr/>
                        <w:tc>
                          <w:tcPr>
                            <w:tcW w:w="6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Robert Helm</w:t>
                            </w:r>
                          </w:p>
                        </w:tc>
                      </w:tr>
                      <w:tr>
                        <w:trPr/>
                        <w:tc>
                          <w:tcPr>
                            <w:tcW w:w="6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Chief Financial Officer</w:t>
                            </w:r>
                          </w:p>
                        </w:tc>
                      </w:tr>
                    </w:tbl>
                  </w:txbxContent>
                </v:textbox>
                <w10:wrap type="square" side="right"/>
              </v:rect>
            </w:pict>
          </mc:Fallback>
        </mc:AlternateConten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50" w:name="ef20015294_ex97.htm"/>
      <w:bookmarkStart w:id="151" w:name="ksef20015294_ex97"/>
      <w:bookmarkStart w:id="152" w:name="ef20015294_ex97.htm"/>
      <w:bookmarkStart w:id="153" w:name="ksef20015294_ex97"/>
      <w:bookmarkEnd w:id="152"/>
      <w:bookmarkEnd w:id="153"/>
      <w:r>
        <w:br w:type="page"/>
      </w:r>
    </w:p>
    <w:p>
      <w:pPr>
        <w:pStyle w:val="TextBody"/>
        <w:bidi w:val="0"/>
        <w:spacing w:before="0" w:after="0"/>
        <w:ind w:left="1201" w:right="36" w:firstLine="976"/>
        <w:jc w:val="right"/>
        <w:rPr>
          <w:rFonts w:ascii="Times New Roman" w:hAnsi="Times New Roman"/>
          <w:b/>
          <w:color w:val="000000"/>
          <w:sz w:val="20"/>
        </w:rPr>
      </w:pPr>
      <w:r>
        <w:rPr>
          <w:rFonts w:ascii="Times New Roman" w:hAnsi="Times New Roman"/>
          <w:b/>
          <w:color w:val="000000"/>
          <w:sz w:val="20"/>
        </w:rPr>
        <w:t>Exhibit 97</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ind w:left="1201" w:right="1222" w:firstLine="976"/>
        <w:jc w:val="center"/>
        <w:rPr>
          <w:rFonts w:ascii="Times New Roman" w:hAnsi="Times New Roman"/>
          <w:b/>
          <w:color w:val="000000"/>
          <w:sz w:val="20"/>
        </w:rPr>
      </w:pPr>
      <w:r>
        <w:rPr>
          <w:rFonts w:ascii="Times New Roman" w:hAnsi="Times New Roman"/>
          <w:b/>
          <w:color w:val="000000"/>
          <w:sz w:val="20"/>
        </w:rPr>
        <w:t xml:space="preserve">OLLIE’S BARGAIN OUTLET HOLDINGS, INC. </w:t>
      </w:r>
    </w:p>
    <w:p>
      <w:pPr>
        <w:pStyle w:val="TextBody"/>
        <w:bidi w:val="0"/>
        <w:spacing w:before="0" w:after="0"/>
        <w:ind w:left="1201" w:right="1222" w:firstLine="976"/>
        <w:jc w:val="center"/>
        <w:rPr>
          <w:rFonts w:ascii="Times New Roman" w:hAnsi="Times New Roman"/>
          <w:b/>
          <w:color w:val="000000"/>
          <w:sz w:val="20"/>
        </w:rPr>
      </w:pPr>
      <w:r>
        <w:rPr>
          <w:rFonts w:ascii="Times New Roman" w:hAnsi="Times New Roman"/>
          <w:b/>
          <w:color w:val="000000"/>
          <w:sz w:val="20"/>
        </w:rPr>
        <w:t>POLICY FOR RECOUPMENT OF INCENTIVE COMPENSATION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4" w:name="zd50e556983344fc2b4dd5b39b14501de"/>
      <w:bookmarkStart w:id="155" w:name="zd50e556983344fc2b4dd5b39b14501de"/>
      <w:bookmarkEnd w:id="155"/>
    </w:p>
    <w:tbl>
      <w:tblPr>
        <w:tblW w:w="1563" w:type="dxa"/>
        <w:jc w:val="left"/>
        <w:tblInd w:w="0" w:type="dxa"/>
        <w:tblLayout w:type="fixed"/>
        <w:tblCellMar>
          <w:top w:w="0" w:type="dxa"/>
          <w:left w:w="0" w:type="dxa"/>
          <w:bottom w:w="0" w:type="dxa"/>
          <w:right w:w="0" w:type="dxa"/>
        </w:tblCellMar>
      </w:tblPr>
      <w:tblGrid>
        <w:gridCol w:w="38"/>
        <w:gridCol w:w="200"/>
        <w:gridCol w:w="132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1.</w:t>
            </w:r>
          </w:p>
        </w:tc>
        <w:tc>
          <w:tcPr>
            <w:tcW w:w="1325" w:type="dxa"/>
            <w:tcBorders/>
            <w:vAlign w:val="center"/>
          </w:tcPr>
          <w:p>
            <w:pPr>
              <w:pStyle w:val="TableContents"/>
              <w:bidi w:val="0"/>
              <w:spacing w:before="0" w:after="0"/>
              <w:jc w:val="left"/>
              <w:rPr>
                <w:b/>
                <w:u w:val="single"/>
              </w:rPr>
            </w:pPr>
            <w:r>
              <w:rPr>
                <w:b/>
                <w:u w:val="single"/>
              </w:rPr>
              <w:t>Introduction</w:t>
            </w:r>
          </w:p>
        </w:tc>
      </w:tr>
    </w:tbl>
    <w:p>
      <w:pPr>
        <w:pStyle w:val="TextBody"/>
        <w:bidi w:val="0"/>
        <w:spacing w:before="0" w:after="0"/>
        <w:jc w:val="left"/>
        <w:rPr>
          <w:color w:val="000000"/>
        </w:rPr>
      </w:pPr>
      <w:r>
        <w:rPr>
          <w:color w:val="000000"/>
        </w:rPr>
        <w:t> </w:t>
      </w:r>
    </w:p>
    <w:p>
      <w:pPr>
        <w:pStyle w:val="TextBody"/>
        <w:bidi w:val="0"/>
        <w:spacing w:before="0" w:after="0"/>
        <w:ind w:left="100" w:right="115" w:firstLine="360"/>
        <w:jc w:val="both"/>
        <w:rPr>
          <w:rFonts w:ascii="Times New Roman" w:hAnsi="Times New Roman"/>
          <w:color w:val="000000"/>
          <w:sz w:val="20"/>
        </w:rPr>
      </w:pPr>
      <w:r>
        <w:rPr>
          <w:rFonts w:ascii="Times New Roman" w:hAnsi="Times New Roman"/>
          <w:color w:val="000000"/>
          <w:sz w:val="20"/>
        </w:rPr>
        <w:t>In accordance with Section 10D of the Securities Exchange Act of 1934, as amended, and the regulations thereunder, the Board of Directors (the “</w:t>
      </w:r>
      <w:r>
        <w:rPr>
          <w:rFonts w:ascii="Times New Roman" w:hAnsi="Times New Roman"/>
          <w:color w:val="000000"/>
          <w:sz w:val="20"/>
          <w:u w:val="single"/>
        </w:rPr>
        <w:t>Board</w:t>
      </w:r>
      <w:r>
        <w:rPr>
          <w:rFonts w:ascii="Times New Roman" w:hAnsi="Times New Roman"/>
          <w:color w:val="000000"/>
          <w:sz w:val="20"/>
        </w:rPr>
        <w:t>”) of Ollie’s Bargain Outlet Holdings, Inc. (the “</w:t>
      </w:r>
      <w:r>
        <w:rPr>
          <w:rFonts w:ascii="Times New Roman" w:hAnsi="Times New Roman"/>
          <w:color w:val="000000"/>
          <w:sz w:val="20"/>
          <w:u w:val="single"/>
        </w:rPr>
        <w:t>Company</w:t>
      </w:r>
      <w:r>
        <w:rPr>
          <w:rFonts w:ascii="Times New Roman" w:hAnsi="Times New Roman"/>
          <w:color w:val="000000"/>
          <w:sz w:val="20"/>
        </w:rPr>
        <w:t>”) has adopted a policy (the “</w:t>
      </w:r>
      <w:r>
        <w:rPr>
          <w:rFonts w:ascii="Times New Roman" w:hAnsi="Times New Roman"/>
          <w:color w:val="000000"/>
          <w:sz w:val="20"/>
          <w:u w:val="single"/>
        </w:rPr>
        <w:t>Policy</w:t>
      </w:r>
      <w:r>
        <w:rPr>
          <w:rFonts w:ascii="Times New Roman" w:hAnsi="Times New Roman"/>
          <w:color w:val="000000"/>
          <w:sz w:val="20"/>
        </w:rPr>
        <w:t>”) providing for the Company’s recoupment of certain incentive-based compensation received by Covered Executives (as defined below) in the event that the Company is required to prepare an accounting restatement due to its material noncompliance with any financial reporting requirement under the securities laws.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6" w:name="zbfe941aae61c4c6286fc5be1f1d608e6"/>
      <w:bookmarkStart w:id="157" w:name="zbfe941aae61c4c6286fc5be1f1d608e6"/>
      <w:bookmarkEnd w:id="157"/>
    </w:p>
    <w:tbl>
      <w:tblPr>
        <w:tblW w:w="1818" w:type="dxa"/>
        <w:jc w:val="left"/>
        <w:tblInd w:w="0" w:type="dxa"/>
        <w:tblLayout w:type="fixed"/>
        <w:tblCellMar>
          <w:top w:w="0" w:type="dxa"/>
          <w:left w:w="0" w:type="dxa"/>
          <w:bottom w:w="0" w:type="dxa"/>
          <w:right w:w="0" w:type="dxa"/>
        </w:tblCellMar>
      </w:tblPr>
      <w:tblGrid>
        <w:gridCol w:w="38"/>
        <w:gridCol w:w="200"/>
        <w:gridCol w:w="158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2.</w:t>
            </w:r>
          </w:p>
        </w:tc>
        <w:tc>
          <w:tcPr>
            <w:tcW w:w="1580" w:type="dxa"/>
            <w:tcBorders/>
            <w:vAlign w:val="center"/>
          </w:tcPr>
          <w:p>
            <w:pPr>
              <w:pStyle w:val="TableContents"/>
              <w:bidi w:val="0"/>
              <w:spacing w:before="0" w:after="0"/>
              <w:jc w:val="left"/>
              <w:rPr>
                <w:b/>
                <w:u w:val="single"/>
              </w:rPr>
            </w:pPr>
            <w:r>
              <w:rPr>
                <w:b/>
                <w:u w:val="single"/>
              </w:rPr>
              <w:t>Administration</w:t>
            </w:r>
          </w:p>
        </w:tc>
      </w:tr>
    </w:tbl>
    <w:p>
      <w:pPr>
        <w:pStyle w:val="TextBody"/>
        <w:bidi w:val="0"/>
        <w:spacing w:before="0" w:after="0"/>
        <w:jc w:val="left"/>
        <w:rPr>
          <w:color w:val="000000"/>
        </w:rPr>
      </w:pPr>
      <w:r>
        <w:rPr>
          <w:color w:val="000000"/>
        </w:rPr>
        <w:t> </w:t>
      </w:r>
    </w:p>
    <w:p>
      <w:pPr>
        <w:pStyle w:val="TextBody"/>
        <w:bidi w:val="0"/>
        <w:spacing w:before="0" w:after="0"/>
        <w:ind w:left="100" w:right="113" w:firstLine="360"/>
        <w:jc w:val="both"/>
        <w:rPr>
          <w:rFonts w:ascii="Times New Roman" w:hAnsi="Times New Roman"/>
          <w:color w:val="000000"/>
          <w:sz w:val="20"/>
        </w:rPr>
      </w:pPr>
      <w:r>
        <w:rPr>
          <w:rFonts w:ascii="Times New Roman" w:hAnsi="Times New Roman"/>
          <w:color w:val="000000"/>
          <w:sz w:val="20"/>
        </w:rPr>
        <w:t>Administration and enforcement of this Policy is delegated to the Compensation Committee of the Board (as constituted from time to time, and including any successor committee, the “</w:t>
      </w:r>
      <w:r>
        <w:rPr>
          <w:rFonts w:ascii="Times New Roman" w:hAnsi="Times New Roman"/>
          <w:color w:val="000000"/>
          <w:sz w:val="20"/>
          <w:u w:val="single"/>
        </w:rPr>
        <w:t>Committee</w:t>
      </w:r>
      <w:r>
        <w:rPr>
          <w:rFonts w:ascii="Times New Roman" w:hAnsi="Times New Roman"/>
          <w:color w:val="000000"/>
          <w:sz w:val="20"/>
        </w:rPr>
        <w:t>”). The Committee shall make all determinations under this Policy in its sole discretion. Determinations of the Committee under this Policy need not be uniform with respect to any or all Covered Executives, and all determinations will be final and binding. In the absence of the Committee, determinations shall be made by a majority of the independent directors serving on the Board.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8" w:name="ze31d8947c7b14e7fa3b808fc80406335"/>
      <w:bookmarkStart w:id="159" w:name="ze31d8947c7b14e7fa3b808fc80406335"/>
      <w:bookmarkEnd w:id="159"/>
    </w:p>
    <w:tbl>
      <w:tblPr>
        <w:tblW w:w="1698" w:type="dxa"/>
        <w:jc w:val="left"/>
        <w:tblInd w:w="0" w:type="dxa"/>
        <w:tblLayout w:type="fixed"/>
        <w:tblCellMar>
          <w:top w:w="0" w:type="dxa"/>
          <w:left w:w="0" w:type="dxa"/>
          <w:bottom w:w="0" w:type="dxa"/>
          <w:right w:w="0" w:type="dxa"/>
        </w:tblCellMar>
      </w:tblPr>
      <w:tblGrid>
        <w:gridCol w:w="38"/>
        <w:gridCol w:w="200"/>
        <w:gridCol w:w="146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3.</w:t>
            </w:r>
          </w:p>
        </w:tc>
        <w:tc>
          <w:tcPr>
            <w:tcW w:w="1460" w:type="dxa"/>
            <w:tcBorders/>
            <w:vAlign w:val="center"/>
          </w:tcPr>
          <w:p>
            <w:pPr>
              <w:pStyle w:val="TableContents"/>
              <w:bidi w:val="0"/>
              <w:spacing w:before="0" w:after="0"/>
              <w:jc w:val="left"/>
              <w:rPr>
                <w:b/>
                <w:u w:val="single"/>
              </w:rPr>
            </w:pPr>
            <w:r>
              <w:rPr>
                <w:b/>
                <w:u w:val="single"/>
              </w:rPr>
              <w:t>Effective Date</w:t>
            </w:r>
          </w:p>
        </w:tc>
      </w:tr>
    </w:tbl>
    <w:p>
      <w:pPr>
        <w:pStyle w:val="TextBody"/>
        <w:bidi w:val="0"/>
        <w:spacing w:before="0" w:after="0"/>
        <w:jc w:val="left"/>
        <w:rPr>
          <w:color w:val="000000"/>
        </w:rPr>
      </w:pPr>
      <w:r>
        <w:rPr>
          <w:color w:val="000000"/>
        </w:rPr>
        <w:t> </w:t>
      </w:r>
    </w:p>
    <w:p>
      <w:pPr>
        <w:pStyle w:val="TextBody"/>
        <w:bidi w:val="0"/>
        <w:spacing w:before="0" w:after="0"/>
        <w:ind w:left="100" w:right="117" w:firstLine="360"/>
        <w:jc w:val="both"/>
        <w:rPr>
          <w:rFonts w:ascii="Times New Roman" w:hAnsi="Times New Roman"/>
          <w:color w:val="000000"/>
          <w:sz w:val="20"/>
        </w:rPr>
      </w:pPr>
      <w:r>
        <w:rPr>
          <w:rFonts w:ascii="Times New Roman" w:hAnsi="Times New Roman"/>
          <w:color w:val="000000"/>
          <w:sz w:val="20"/>
        </w:rPr>
        <w:t>This Policy shall be effective as of December 1, 2023, (the “</w:t>
      </w:r>
      <w:r>
        <w:rPr>
          <w:rFonts w:ascii="Times New Roman" w:hAnsi="Times New Roman"/>
          <w:color w:val="000000"/>
          <w:sz w:val="20"/>
          <w:u w:val="single"/>
        </w:rPr>
        <w:t>Effective Date</w:t>
      </w:r>
      <w:r>
        <w:rPr>
          <w:rFonts w:ascii="Times New Roman" w:hAnsi="Times New Roman"/>
          <w:color w:val="000000"/>
          <w:sz w:val="20"/>
        </w:rPr>
        <w:t>”) and shall apply only to Covered Compensation (as defined below) that is received by Covered Executives on or after the Effective Date, except as otherwise agreed to in writing by any Covered Executive.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0" w:name="z38c8e3d76b7b4b7fbcbeca60e8fb6917"/>
      <w:bookmarkStart w:id="161" w:name="z38c8e3d76b7b4b7fbcbeca60e8fb6917"/>
      <w:bookmarkEnd w:id="161"/>
    </w:p>
    <w:tbl>
      <w:tblPr>
        <w:tblW w:w="2283" w:type="dxa"/>
        <w:jc w:val="left"/>
        <w:tblInd w:w="0" w:type="dxa"/>
        <w:tblLayout w:type="fixed"/>
        <w:tblCellMar>
          <w:top w:w="0" w:type="dxa"/>
          <w:left w:w="0" w:type="dxa"/>
          <w:bottom w:w="0" w:type="dxa"/>
          <w:right w:w="0" w:type="dxa"/>
        </w:tblCellMar>
      </w:tblPr>
      <w:tblGrid>
        <w:gridCol w:w="38"/>
        <w:gridCol w:w="200"/>
        <w:gridCol w:w="204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4.</w:t>
            </w:r>
          </w:p>
        </w:tc>
        <w:tc>
          <w:tcPr>
            <w:tcW w:w="2045" w:type="dxa"/>
            <w:tcBorders/>
            <w:vAlign w:val="center"/>
          </w:tcPr>
          <w:p>
            <w:pPr>
              <w:pStyle w:val="TableContents"/>
              <w:bidi w:val="0"/>
              <w:spacing w:before="0" w:after="0"/>
              <w:jc w:val="left"/>
              <w:rPr>
                <w:b/>
                <w:u w:val="single"/>
              </w:rPr>
            </w:pPr>
            <w:r>
              <w:rPr>
                <w:b/>
                <w:u w:val="single"/>
              </w:rPr>
              <w:t>Covered Executives</w:t>
            </w:r>
          </w:p>
        </w:tc>
      </w:tr>
    </w:tbl>
    <w:p>
      <w:pPr>
        <w:pStyle w:val="TextBody"/>
        <w:bidi w:val="0"/>
        <w:spacing w:before="0" w:after="0"/>
        <w:jc w:val="left"/>
        <w:rPr>
          <w:color w:val="000000"/>
        </w:rPr>
      </w:pPr>
      <w:r>
        <w:rPr>
          <w:color w:val="000000"/>
        </w:rPr>
        <w:t> </w:t>
      </w:r>
    </w:p>
    <w:p>
      <w:pPr>
        <w:pStyle w:val="TextBody"/>
        <w:bidi w:val="0"/>
        <w:spacing w:before="0" w:after="0"/>
        <w:ind w:left="100" w:right="116" w:firstLine="360"/>
        <w:jc w:val="both"/>
        <w:rPr>
          <w:rFonts w:ascii="Times New Roman" w:hAnsi="Times New Roman"/>
          <w:color w:val="000000"/>
          <w:sz w:val="20"/>
        </w:rPr>
      </w:pPr>
      <w:r>
        <w:rPr>
          <w:rFonts w:ascii="Times New Roman" w:hAnsi="Times New Roman"/>
          <w:color w:val="000000"/>
          <w:sz w:val="20"/>
        </w:rPr>
        <w:t>This Policy covers each current or former officer of the Company subject to Section 16 of the Securities Exchange Act of 1934, as amended (each, a “</w:t>
      </w:r>
      <w:r>
        <w:rPr>
          <w:rFonts w:ascii="Times New Roman" w:hAnsi="Times New Roman"/>
          <w:color w:val="000000"/>
          <w:sz w:val="20"/>
          <w:u w:val="single"/>
        </w:rPr>
        <w:t>Covered Executive</w:t>
      </w:r>
      <w:r>
        <w:rPr>
          <w:rFonts w:ascii="Times New Roman" w:hAnsi="Times New Roman"/>
          <w:color w:val="000000"/>
          <w:sz w:val="20"/>
        </w:rPr>
        <w:t>”) regardless of responsibility or involvement in any actions that led to the accounting restatement due to material noncompliance with any financial reporting requirement under the securities laws.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2" w:name="z30a47a1879104e1ea5b39b83613f0c18"/>
      <w:bookmarkStart w:id="163" w:name="z30a47a1879104e1ea5b39b83613f0c18"/>
      <w:bookmarkEnd w:id="163"/>
    </w:p>
    <w:tbl>
      <w:tblPr>
        <w:tblW w:w="2673" w:type="dxa"/>
        <w:jc w:val="left"/>
        <w:tblInd w:w="0" w:type="dxa"/>
        <w:tblLayout w:type="fixed"/>
        <w:tblCellMar>
          <w:top w:w="0" w:type="dxa"/>
          <w:left w:w="0" w:type="dxa"/>
          <w:bottom w:w="0" w:type="dxa"/>
          <w:right w:w="0" w:type="dxa"/>
        </w:tblCellMar>
      </w:tblPr>
      <w:tblGrid>
        <w:gridCol w:w="38"/>
        <w:gridCol w:w="200"/>
        <w:gridCol w:w="243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5.</w:t>
            </w:r>
          </w:p>
        </w:tc>
        <w:tc>
          <w:tcPr>
            <w:tcW w:w="2435" w:type="dxa"/>
            <w:tcBorders/>
            <w:vAlign w:val="center"/>
          </w:tcPr>
          <w:p>
            <w:pPr>
              <w:pStyle w:val="TableContents"/>
              <w:bidi w:val="0"/>
              <w:spacing w:before="0" w:after="0"/>
              <w:jc w:val="left"/>
              <w:rPr>
                <w:b/>
                <w:u w:val="single"/>
              </w:rPr>
            </w:pPr>
            <w:r>
              <w:rPr>
                <w:b/>
                <w:u w:val="single"/>
              </w:rPr>
              <w:t>Covered Compensation</w:t>
            </w:r>
          </w:p>
        </w:tc>
      </w:tr>
    </w:tbl>
    <w:p>
      <w:pPr>
        <w:pStyle w:val="TextBody"/>
        <w:bidi w:val="0"/>
        <w:spacing w:before="0" w:after="0"/>
        <w:jc w:val="left"/>
        <w:rPr>
          <w:color w:val="000000"/>
        </w:rPr>
      </w:pPr>
      <w:r>
        <w:rPr>
          <w:color w:val="000000"/>
        </w:rPr>
        <w:t> </w:t>
      </w:r>
    </w:p>
    <w:p>
      <w:pPr>
        <w:pStyle w:val="TextBody"/>
        <w:bidi w:val="0"/>
        <w:spacing w:before="0" w:after="0"/>
        <w:ind w:left="100" w:right="114" w:firstLine="360"/>
        <w:jc w:val="both"/>
        <w:rPr>
          <w:rFonts w:ascii="Times New Roman" w:hAnsi="Times New Roman"/>
          <w:color w:val="000000"/>
          <w:sz w:val="20"/>
        </w:rPr>
      </w:pPr>
      <w:r>
        <w:rPr>
          <w:rFonts w:ascii="Times New Roman" w:hAnsi="Times New Roman"/>
          <w:color w:val="000000"/>
          <w:sz w:val="20"/>
        </w:rPr>
        <w:t>This Policy applies to any cash-based and equity-based incentive compensation, bonuses, and awards that are received by a Covered Executive and that were based, wholly or in part, upon the attainment of any financial reporting measure (“</w:t>
      </w:r>
      <w:r>
        <w:rPr>
          <w:rFonts w:ascii="Times New Roman" w:hAnsi="Times New Roman"/>
          <w:color w:val="000000"/>
          <w:sz w:val="20"/>
          <w:u w:val="single"/>
        </w:rPr>
        <w:t>Covered Compensation</w:t>
      </w:r>
      <w:r>
        <w:rPr>
          <w:rFonts w:ascii="Times New Roman" w:hAnsi="Times New Roman"/>
          <w:color w:val="000000"/>
          <w:sz w:val="20"/>
        </w:rPr>
        <w:t>”). For the avoidance of doubt, none of the following shall be deemed to be Covered Compensation: base salary, a bonus that is paid solely at the discretion of the Committee or Board and not paid from a bonus pool determined by satisfying any financial reporting measure performance goal, and cash or equity- based awards that are earned solely upon the satisfaction of nonfinancial reporting measures including one or more subjective or strategic standards. This Policy shall apply to any Covered Compensation received by an employee who served as a Covered Executive at any time during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performance period for that Covered Compensation. Only Covered Compensation received while an employee serves as a Covered Executive is subject to recoupment.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4" w:name="zd9cd9a2bfb184d72abf7b37eb2124f64"/>
      <w:bookmarkStart w:id="165" w:name="zd9cd9a2bfb184d72abf7b37eb2124f64"/>
      <w:bookmarkEnd w:id="165"/>
    </w:p>
    <w:tbl>
      <w:tblPr>
        <w:tblW w:w="4053" w:type="dxa"/>
        <w:jc w:val="left"/>
        <w:tblInd w:w="0" w:type="dxa"/>
        <w:tblLayout w:type="fixed"/>
        <w:tblCellMar>
          <w:top w:w="0" w:type="dxa"/>
          <w:left w:w="0" w:type="dxa"/>
          <w:bottom w:w="0" w:type="dxa"/>
          <w:right w:w="0" w:type="dxa"/>
        </w:tblCellMar>
      </w:tblPr>
      <w:tblGrid>
        <w:gridCol w:w="38"/>
        <w:gridCol w:w="200"/>
        <w:gridCol w:w="381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6.</w:t>
            </w:r>
          </w:p>
        </w:tc>
        <w:tc>
          <w:tcPr>
            <w:tcW w:w="3815" w:type="dxa"/>
            <w:tcBorders/>
            <w:vAlign w:val="center"/>
          </w:tcPr>
          <w:p>
            <w:pPr>
              <w:pStyle w:val="TableContents"/>
              <w:bidi w:val="0"/>
              <w:spacing w:before="0" w:after="0"/>
              <w:jc w:val="left"/>
              <w:rPr>
                <w:b/>
                <w:u w:val="single"/>
              </w:rPr>
            </w:pPr>
            <w:r>
              <w:rPr>
                <w:b/>
                <w:u w:val="single"/>
              </w:rPr>
              <w:t>Financial Restatements; Recoupment</w:t>
            </w:r>
          </w:p>
        </w:tc>
      </w:tr>
    </w:tbl>
    <w:p>
      <w:pPr>
        <w:pStyle w:val="TextBody"/>
        <w:bidi w:val="0"/>
        <w:spacing w:before="0" w:after="0"/>
        <w:jc w:val="left"/>
        <w:rPr>
          <w:color w:val="000000"/>
        </w:rPr>
      </w:pPr>
      <w:r>
        <w:rPr>
          <w:color w:val="000000"/>
        </w:rPr>
        <w:t> </w:t>
      </w:r>
    </w:p>
    <w:p>
      <w:pPr>
        <w:pStyle w:val="TextBody"/>
        <w:bidi w:val="0"/>
        <w:spacing w:before="0" w:after="0"/>
        <w:ind w:left="100" w:right="115" w:firstLine="360"/>
        <w:jc w:val="both"/>
        <w:rPr>
          <w:rFonts w:ascii="Times New Roman" w:hAnsi="Times New Roman"/>
          <w:color w:val="000000"/>
          <w:sz w:val="20"/>
        </w:rPr>
      </w:pPr>
      <w:r>
        <w:rPr>
          <w:rFonts w:ascii="Times New Roman" w:hAnsi="Times New Roman"/>
          <w:color w:val="000000"/>
          <w:sz w:val="20"/>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w:t>
      </w:r>
      <w:r>
        <w:rPr>
          <w:rFonts w:ascii="Times New Roman" w:hAnsi="Times New Roman"/>
          <w:color w:val="000000"/>
          <w:sz w:val="20"/>
          <w:u w:val="single"/>
        </w:rPr>
        <w:t>Restatement</w:t>
      </w:r>
      <w:r>
        <w:rPr>
          <w:rFonts w:ascii="Times New Roman" w:hAnsi="Times New Roman"/>
          <w:color w:val="000000"/>
          <w:sz w:val="20"/>
        </w:rPr>
        <w:t>”), the Committee shall review the Covered Compensation received by a Covered Executive during the three-year period preceding the Required Financial Restatement Date as well as any transition period that results from a change in the Company’s fiscal year within or immediately following those three completed fiscal years. Regardless of whether the Company filed the restated financial statements, the Committee shall, to the full extent permitted by governing law, seek recoupment of any Covered Compensation, whether in the form of cash or equity, received by a Covered Executive (computed without regard to any taxes paid), if and to the extent: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6" w:name="z3a3fbf5e01b245ceb1e9a0edc5a62186"/>
      <w:bookmarkStart w:id="167" w:name="z3a3fbf5e01b245ceb1e9a0edc5a62186"/>
      <w:bookmarkEnd w:id="167"/>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pPr>
            <w:r>
              <w:rPr/>
              <w:t>the amount of the Covered Compensation was calculated based upon the achievement of certain financial results that were subsequently the subject of a Restatement;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8" w:name="z462d6404663146aeab9256825dfc9c0d"/>
      <w:bookmarkStart w:id="169" w:name="z462d6404663146aeab9256825dfc9c0d"/>
      <w:bookmarkEnd w:id="169"/>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the amount of the Covered Compensation that would have been received by the Covered Executive had the financial results been properly reported would have been lower than the amount actually awarded (any such amount, “</w:t>
            </w:r>
            <w:r>
              <w:rPr>
                <w:u w:val="single"/>
              </w:rPr>
              <w:t>Erroneously-Awarded Compensation</w:t>
            </w:r>
            <w:r>
              <w:rPr/>
              <w:t>”).</w:t>
            </w:r>
          </w:p>
        </w:tc>
      </w:tr>
    </w:tbl>
    <w:p>
      <w:pPr>
        <w:pStyle w:val="TextBody"/>
        <w:bidi w:val="0"/>
        <w:spacing w:before="0" w:after="0"/>
        <w:jc w:val="left"/>
        <w:rPr>
          <w:color w:val="000000"/>
        </w:rPr>
      </w:pPr>
      <w:r>
        <w:rPr>
          <w:color w:val="000000"/>
        </w:rPr>
        <w:t> </w:t>
      </w:r>
    </w:p>
    <w:p>
      <w:pPr>
        <w:pStyle w:val="TextBody"/>
        <w:bidi w:val="0"/>
        <w:spacing w:before="0" w:after="0"/>
        <w:ind w:left="100" w:right="116" w:firstLine="360"/>
        <w:jc w:val="both"/>
        <w:rPr>
          <w:rFonts w:ascii="Times New Roman" w:hAnsi="Times New Roman"/>
          <w:color w:val="000000"/>
          <w:sz w:val="20"/>
        </w:rPr>
      </w:pPr>
      <w:r>
        <w:rPr>
          <w:rFonts w:ascii="Times New Roman" w:hAnsi="Times New Roman"/>
          <w:color w:val="000000"/>
          <w:sz w:val="20"/>
        </w:rPr>
        <w:t>To the extent Covered Compensation was based on the achievement of a financial reporting measure, but the amount of such Covered Compensation was not awarded or paid on a formulaic basis, the Committee shall determine the amount, if any, of such Covered Compensation that is deemed to be Erroneously-Awarded Compensation.</w:t>
      </w:r>
    </w:p>
    <w:p>
      <w:pPr>
        <w:pStyle w:val="TextBody"/>
        <w:bidi w:val="0"/>
        <w:spacing w:before="0" w:after="0"/>
        <w:jc w:val="left"/>
        <w:rPr>
          <w:color w:val="000000"/>
        </w:rPr>
      </w:pPr>
      <w:r>
        <w:rPr>
          <w:color w:val="000000"/>
        </w:rPr>
        <w:t> </w:t>
      </w:r>
    </w:p>
    <w:p>
      <w:pPr>
        <w:pStyle w:val="TextBody"/>
        <w:bidi w:val="0"/>
        <w:spacing w:before="0" w:after="0"/>
        <w:ind w:left="460" w:right="0" w:hanging="0"/>
        <w:jc w:val="left"/>
        <w:rPr>
          <w:rFonts w:ascii="Times New Roman" w:hAnsi="Times New Roman"/>
          <w:color w:val="000000"/>
          <w:sz w:val="20"/>
        </w:rPr>
      </w:pPr>
      <w:r>
        <w:rPr>
          <w:rFonts w:ascii="Times New Roman" w:hAnsi="Times New Roman"/>
          <w:color w:val="000000"/>
          <w:sz w:val="20"/>
        </w:rPr>
        <w:t>For purposes of this Policy, the “</w:t>
      </w:r>
      <w:r>
        <w:rPr>
          <w:rFonts w:ascii="Times New Roman" w:hAnsi="Times New Roman"/>
          <w:color w:val="000000"/>
          <w:sz w:val="20"/>
          <w:u w:val="single"/>
        </w:rPr>
        <w:t>Required Financial Restatement Date</w:t>
      </w:r>
      <w:r>
        <w:rPr>
          <w:rFonts w:ascii="Times New Roman" w:hAnsi="Times New Roman"/>
          <w:color w:val="000000"/>
          <w:sz w:val="20"/>
        </w:rPr>
        <w:t>” is the earlier to occur</w:t>
      </w:r>
    </w:p>
    <w:p>
      <w:pPr>
        <w:pStyle w:val="TextBody"/>
        <w:bidi w:val="0"/>
        <w:spacing w:before="0" w:after="0"/>
        <w:ind w:left="100" w:right="0" w:hanging="0"/>
        <w:jc w:val="left"/>
        <w:rPr>
          <w:rFonts w:ascii="Times New Roman" w:hAnsi="Times New Roman"/>
          <w:color w:val="000000"/>
          <w:sz w:val="20"/>
        </w:rPr>
      </w:pPr>
      <w:r>
        <w:rPr>
          <w:rFonts w:ascii="Times New Roman" w:hAnsi="Times New Roman"/>
          <w:color w:val="000000"/>
          <w:sz w:val="20"/>
        </w:rPr>
        <w:t>of:</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0" w:name="z22a3b39570254f7599e7f5e80a46da34"/>
      <w:bookmarkStart w:id="171" w:name="z22a3b39570254f7599e7f5e80a46da34"/>
      <w:bookmarkEnd w:id="171"/>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pPr>
            <w:r>
              <w:rPr/>
              <w:t>the date the Board, a committee of the Board, or any officer or officers authorized to take such action if Board action is not required, concludes, or reasonably should have concluded, that the Company is required to prepare a Restatement;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2" w:name="zcccee044890c4ada949ee25edc36c973"/>
      <w:bookmarkStart w:id="173" w:name="zcccee044890c4ada949ee25edc36c973"/>
      <w:bookmarkEnd w:id="173"/>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the date a court, regulator, or other legally authorized body directs the Company to prepare a Restatement.</w:t>
            </w:r>
          </w:p>
        </w:tc>
      </w:tr>
    </w:tbl>
    <w:p>
      <w:pPr>
        <w:pStyle w:val="TextBody"/>
        <w:bidi w:val="0"/>
        <w:spacing w:before="0" w:after="0"/>
        <w:jc w:val="left"/>
        <w:rPr/>
      </w:pPr>
      <w:r>
        <w:rPr/>
      </w:r>
    </w:p>
    <w:p>
      <w:pPr>
        <w:pStyle w:val="TextBody"/>
        <w:bidi w:val="0"/>
        <w:spacing w:before="0" w:after="0"/>
        <w:ind w:left="100" w:right="116" w:firstLine="360"/>
        <w:jc w:val="both"/>
        <w:rPr>
          <w:rFonts w:ascii="Times New Roman" w:hAnsi="Times New Roman"/>
          <w:color w:val="000000"/>
          <w:sz w:val="20"/>
        </w:rPr>
      </w:pPr>
      <w:r>
        <w:rPr>
          <w:rFonts w:ascii="Times New Roman" w:hAnsi="Times New Roman"/>
          <w:color w:val="000000"/>
          <w:sz w:val="20"/>
        </w:rPr>
        <w:t>For the avoidance of doubt, a Covered Executive will be deemed to have received Covered Compensation in the Company’s fiscal period during which the financial reporting measure specified in the award is attained, even if the Covered Executive remains subject to additional payment conditions with respect to such award.</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74" w:name="zd96565bfe6a647d8823bffef6e167850"/>
      <w:bookmarkStart w:id="175" w:name="zd96565bfe6a647d8823bffef6e167850"/>
      <w:bookmarkEnd w:id="175"/>
    </w:p>
    <w:tbl>
      <w:tblPr>
        <w:tblW w:w="2673" w:type="dxa"/>
        <w:jc w:val="left"/>
        <w:tblInd w:w="0" w:type="dxa"/>
        <w:tblLayout w:type="fixed"/>
        <w:tblCellMar>
          <w:top w:w="0" w:type="dxa"/>
          <w:left w:w="0" w:type="dxa"/>
          <w:bottom w:w="0" w:type="dxa"/>
          <w:right w:w="0" w:type="dxa"/>
        </w:tblCellMar>
      </w:tblPr>
      <w:tblGrid>
        <w:gridCol w:w="38"/>
        <w:gridCol w:w="200"/>
        <w:gridCol w:w="243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7.</w:t>
            </w:r>
          </w:p>
        </w:tc>
        <w:tc>
          <w:tcPr>
            <w:tcW w:w="2435" w:type="dxa"/>
            <w:tcBorders/>
            <w:vAlign w:val="center"/>
          </w:tcPr>
          <w:p>
            <w:pPr>
              <w:pStyle w:val="TableContents"/>
              <w:bidi w:val="0"/>
              <w:spacing w:before="0" w:after="0"/>
              <w:jc w:val="left"/>
              <w:rPr>
                <w:b/>
                <w:u w:val="single"/>
              </w:rPr>
            </w:pPr>
            <w:r>
              <w:rPr>
                <w:b/>
                <w:u w:val="single"/>
              </w:rPr>
              <w:t>Method of Recoupment</w:t>
            </w:r>
          </w:p>
        </w:tc>
      </w:tr>
    </w:tbl>
    <w:p>
      <w:pPr>
        <w:pStyle w:val="TextBody"/>
        <w:bidi w:val="0"/>
        <w:spacing w:before="0" w:after="0"/>
        <w:jc w:val="left"/>
        <w:rPr>
          <w:color w:val="000000"/>
        </w:rPr>
      </w:pPr>
      <w:r>
        <w:rPr>
          <w:color w:val="000000"/>
        </w:rPr>
        <w:t> </w:t>
      </w:r>
    </w:p>
    <w:p>
      <w:pPr>
        <w:pStyle w:val="TextBody"/>
        <w:bidi w:val="0"/>
        <w:spacing w:before="0" w:after="0"/>
        <w:ind w:left="100" w:right="0" w:firstLine="360"/>
        <w:jc w:val="left"/>
        <w:rPr>
          <w:rFonts w:ascii="Times New Roman" w:hAnsi="Times New Roman"/>
          <w:color w:val="000000"/>
          <w:sz w:val="20"/>
        </w:rPr>
      </w:pPr>
      <w:r>
        <w:rPr>
          <w:rFonts w:ascii="Times New Roman" w:hAnsi="Times New Roman"/>
          <w:color w:val="000000"/>
          <w:sz w:val="20"/>
        </w:rPr>
        <w:t>The Committee will determine, in its sole discretion, the method for recouping Erroneously- Awarded Compensation, which may include, without limitation: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6" w:name="z889864d1fcfe46798b8b9f72b76f4842"/>
      <w:bookmarkStart w:id="177" w:name="z889864d1fcfe46798b8b9f72b76f4842"/>
      <w:bookmarkEnd w:id="177"/>
    </w:p>
    <w:tbl>
      <w:tblPr>
        <w:tblW w:w="7158" w:type="dxa"/>
        <w:jc w:val="left"/>
        <w:tblInd w:w="0" w:type="dxa"/>
        <w:tblLayout w:type="fixed"/>
        <w:tblCellMar>
          <w:top w:w="0" w:type="dxa"/>
          <w:left w:w="0" w:type="dxa"/>
          <w:bottom w:w="0" w:type="dxa"/>
          <w:right w:w="0" w:type="dxa"/>
        </w:tblCellMar>
      </w:tblPr>
      <w:tblGrid>
        <w:gridCol w:w="38"/>
        <w:gridCol w:w="185"/>
        <w:gridCol w:w="6935"/>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6935" w:type="dxa"/>
            <w:tcBorders/>
            <w:vAlign w:val="center"/>
          </w:tcPr>
          <w:p>
            <w:pPr>
              <w:pStyle w:val="TableContents"/>
              <w:bidi w:val="0"/>
              <w:spacing w:before="0" w:after="0"/>
              <w:jc w:val="left"/>
              <w:rPr/>
            </w:pPr>
            <w:r>
              <w:rPr/>
              <w:t>requiring reimbursement of cash incentive compensation previously paid;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8" w:name="z0b43920fac9a4cc1b06a90e8e5869470"/>
      <w:bookmarkStart w:id="179" w:name="z0b43920fac9a4cc1b06a90e8e5869470"/>
      <w:bookmarkEnd w:id="179"/>
    </w:p>
    <w:tbl>
      <w:tblPr>
        <w:tblW w:w="10098" w:type="dxa"/>
        <w:jc w:val="left"/>
        <w:tblInd w:w="0" w:type="dxa"/>
        <w:tblLayout w:type="fixed"/>
        <w:tblCellMar>
          <w:top w:w="0" w:type="dxa"/>
          <w:left w:w="0" w:type="dxa"/>
          <w:bottom w:w="0" w:type="dxa"/>
          <w:right w:w="0" w:type="dxa"/>
        </w:tblCellMar>
      </w:tblPr>
      <w:tblGrid>
        <w:gridCol w:w="38"/>
        <w:gridCol w:w="200"/>
        <w:gridCol w:w="986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860" w:type="dxa"/>
            <w:tcBorders/>
            <w:vAlign w:val="center"/>
          </w:tcPr>
          <w:p>
            <w:pPr>
              <w:pStyle w:val="TableContents"/>
              <w:bidi w:val="0"/>
              <w:spacing w:before="0" w:after="0"/>
              <w:jc w:val="left"/>
              <w:rPr/>
            </w:pPr>
            <w:r>
              <w:rPr/>
              <w:t>cancelling or rescinding some or all outstanding vested or unvested equity (and/or equity-based) awards;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0" w:name="z33b86b99fbf94f3bb5fbba3230ab586a"/>
      <w:bookmarkStart w:id="181" w:name="z33b86b99fbf94f3bb5fbba3230ab586a"/>
      <w:bookmarkEnd w:id="181"/>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0"/>
              <w:jc w:val="left"/>
              <w:rPr/>
            </w:pPr>
            <w:r>
              <w:rPr/>
              <w:t>adjusting or withholding from unpaid compensation or other set-off to the extent permitted by applicable law; and/or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2" w:name="z98b2339d8e4d4bb99ae58b5904ba032f"/>
      <w:bookmarkStart w:id="183" w:name="z98b2339d8e4d4bb99ae58b5904ba032f"/>
      <w:bookmarkEnd w:id="183"/>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0"/>
              <w:jc w:val="left"/>
              <w:rPr/>
            </w:pPr>
            <w:r>
              <w:rPr/>
              <w:t>reducing or eliminating future salary increases, cash-based or equity-based incentive compensation, bonuses, awards or severance.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4" w:name="zbc478325eb614d0494b46983e9e7d12f"/>
      <w:bookmarkStart w:id="185" w:name="zbc478325eb614d0494b46983e9e7d12f"/>
      <w:bookmarkEnd w:id="185"/>
    </w:p>
    <w:tbl>
      <w:tblPr>
        <w:tblW w:w="3063" w:type="dxa"/>
        <w:jc w:val="left"/>
        <w:tblInd w:w="0" w:type="dxa"/>
        <w:tblLayout w:type="fixed"/>
        <w:tblCellMar>
          <w:top w:w="0" w:type="dxa"/>
          <w:left w:w="0" w:type="dxa"/>
          <w:bottom w:w="0" w:type="dxa"/>
          <w:right w:w="0" w:type="dxa"/>
        </w:tblCellMar>
      </w:tblPr>
      <w:tblGrid>
        <w:gridCol w:w="38"/>
        <w:gridCol w:w="200"/>
        <w:gridCol w:w="282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8.</w:t>
            </w:r>
          </w:p>
        </w:tc>
        <w:tc>
          <w:tcPr>
            <w:tcW w:w="2825" w:type="dxa"/>
            <w:tcBorders/>
            <w:vAlign w:val="center"/>
          </w:tcPr>
          <w:p>
            <w:pPr>
              <w:pStyle w:val="TableContents"/>
              <w:bidi w:val="0"/>
              <w:spacing w:before="0" w:after="0"/>
              <w:jc w:val="left"/>
              <w:rPr>
                <w:b/>
                <w:u w:val="single"/>
              </w:rPr>
            </w:pPr>
            <w:r>
              <w:rPr>
                <w:b/>
                <w:u w:val="single"/>
              </w:rPr>
              <w:t>Impracticability Exceptions</w:t>
            </w:r>
          </w:p>
        </w:tc>
      </w:tr>
    </w:tbl>
    <w:p>
      <w:pPr>
        <w:pStyle w:val="TextBody"/>
        <w:bidi w:val="0"/>
        <w:spacing w:before="0" w:after="0"/>
        <w:jc w:val="left"/>
        <w:rPr>
          <w:color w:val="000000"/>
        </w:rPr>
      </w:pPr>
      <w:r>
        <w:rPr>
          <w:color w:val="000000"/>
        </w:rPr>
        <w:t> </w:t>
      </w:r>
    </w:p>
    <w:p>
      <w:pPr>
        <w:pStyle w:val="TextBody"/>
        <w:bidi w:val="0"/>
        <w:spacing w:before="0" w:after="0"/>
        <w:ind w:left="100" w:right="0" w:firstLine="360"/>
        <w:jc w:val="left"/>
        <w:rPr>
          <w:rFonts w:ascii="Times New Roman" w:hAnsi="Times New Roman"/>
          <w:color w:val="000000"/>
          <w:sz w:val="20"/>
        </w:rPr>
      </w:pPr>
      <w:r>
        <w:rPr>
          <w:rFonts w:ascii="Times New Roman" w:hAnsi="Times New Roman"/>
          <w:color w:val="000000"/>
          <w:sz w:val="20"/>
        </w:rPr>
        <w:t>The Committee shall not seek recoupment of any Erroneously-Awarded Compensation to the extent it determines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6" w:name="z20e240f6d35a4f7e87ec8bf92a7ca535"/>
      <w:bookmarkStart w:id="187" w:name="z20e240f6d35a4f7e87ec8bf92a7ca535"/>
      <w:bookmarkEnd w:id="187"/>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pPr>
            <w:r>
              <w:rPr/>
              <w:t>the fees, costs, and expenses paid to a third party to assist in enforcing this Policy would exceed the amount of Erroneously-Awarded Compensation to be recovered;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8" w:name="z000c4111197f4f748d7a8ce4d82d1474"/>
      <w:bookmarkStart w:id="189" w:name="z000c4111197f4f748d7a8ce4d82d1474"/>
      <w:bookmarkEnd w:id="189"/>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0"/>
              <w:jc w:val="both"/>
              <w:rPr/>
            </w:pPr>
            <w:r>
              <w:rPr/>
              <w:t>recovery would violate home country law where that law was adopted prior to November 28, 2022; and/or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0" w:name="z22deae4dacff45d08c9aa74e43ae80ec"/>
      <w:bookmarkStart w:id="191" w:name="z22deae4dacff45d08c9aa74e43ae80ec"/>
      <w:bookmarkEnd w:id="191"/>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0"/>
              <w:jc w:val="both"/>
              <w:rPr/>
            </w:pPr>
            <w:r>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2" w:name="z8be283ba142a4ed39b6da663ac127656"/>
      <w:bookmarkStart w:id="193" w:name="z8be283ba142a4ed39b6da663ac127656"/>
      <w:bookmarkEnd w:id="193"/>
    </w:p>
    <w:tbl>
      <w:tblPr>
        <w:tblW w:w="2238" w:type="dxa"/>
        <w:jc w:val="left"/>
        <w:tblInd w:w="0" w:type="dxa"/>
        <w:tblLayout w:type="fixed"/>
        <w:tblCellMar>
          <w:top w:w="0" w:type="dxa"/>
          <w:left w:w="0" w:type="dxa"/>
          <w:bottom w:w="0" w:type="dxa"/>
          <w:right w:w="0" w:type="dxa"/>
        </w:tblCellMar>
      </w:tblPr>
      <w:tblGrid>
        <w:gridCol w:w="38"/>
        <w:gridCol w:w="200"/>
        <w:gridCol w:w="200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b/>
              </w:rPr>
            </w:pPr>
            <w:r>
              <w:rPr>
                <w:b/>
              </w:rPr>
              <w:t>9.</w:t>
            </w:r>
          </w:p>
        </w:tc>
        <w:tc>
          <w:tcPr>
            <w:tcW w:w="2000" w:type="dxa"/>
            <w:tcBorders/>
            <w:vAlign w:val="center"/>
          </w:tcPr>
          <w:p>
            <w:pPr>
              <w:pStyle w:val="TableContents"/>
              <w:bidi w:val="0"/>
              <w:spacing w:before="0" w:after="0"/>
              <w:jc w:val="left"/>
              <w:rPr>
                <w:b/>
                <w:u w:val="single"/>
              </w:rPr>
            </w:pPr>
            <w:r>
              <w:rPr>
                <w:b/>
                <w:u w:val="single"/>
              </w:rPr>
              <w:t>No Indemnification</w:t>
            </w:r>
          </w:p>
        </w:tc>
      </w:tr>
    </w:tbl>
    <w:p>
      <w:pPr>
        <w:pStyle w:val="TextBody"/>
        <w:bidi w:val="0"/>
        <w:spacing w:before="0" w:after="0"/>
        <w:jc w:val="left"/>
        <w:rPr>
          <w:color w:val="000000"/>
        </w:rPr>
      </w:pPr>
      <w:r>
        <w:rPr>
          <w:color w:val="000000"/>
        </w:rPr>
        <w:t> </w:t>
      </w:r>
    </w:p>
    <w:p>
      <w:pPr>
        <w:pStyle w:val="TextBody"/>
        <w:bidi w:val="0"/>
        <w:spacing w:before="0" w:after="0"/>
        <w:ind w:left="100" w:right="115" w:firstLine="360"/>
        <w:jc w:val="both"/>
        <w:rPr>
          <w:rFonts w:ascii="Times New Roman" w:hAnsi="Times New Roman"/>
          <w:color w:val="000000"/>
          <w:sz w:val="20"/>
        </w:rPr>
      </w:pPr>
      <w:r>
        <w:rPr>
          <w:rFonts w:ascii="Times New Roman" w:hAnsi="Times New Roman"/>
          <w:color w:val="000000"/>
          <w:sz w:val="20"/>
        </w:rPr>
        <w:t>For the avoidance of doubt, the Company shall not indemnify any Covered Executive against the loss of any Erroneously-Awarded Compensation or any Covered Compensation that is recouped pursuant to the terms of this Policy, or any claims relating to the Company’s enforcement of its rights under this Policy.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4" w:name="z5639d4e33f7c4fa889508f973bcc6025"/>
      <w:bookmarkStart w:id="195" w:name="z5639d4e33f7c4fa889508f973bcc6025"/>
      <w:bookmarkEnd w:id="195"/>
    </w:p>
    <w:tbl>
      <w:tblPr>
        <w:tblW w:w="1593" w:type="dxa"/>
        <w:jc w:val="left"/>
        <w:tblInd w:w="0" w:type="dxa"/>
        <w:tblLayout w:type="fixed"/>
        <w:tblCellMar>
          <w:top w:w="0" w:type="dxa"/>
          <w:left w:w="0" w:type="dxa"/>
          <w:bottom w:w="0" w:type="dxa"/>
          <w:right w:w="0" w:type="dxa"/>
        </w:tblCellMar>
      </w:tblPr>
      <w:tblGrid>
        <w:gridCol w:w="38"/>
        <w:gridCol w:w="320"/>
        <w:gridCol w:w="123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10.</w:t>
            </w:r>
          </w:p>
        </w:tc>
        <w:tc>
          <w:tcPr>
            <w:tcW w:w="1235" w:type="dxa"/>
            <w:tcBorders/>
            <w:vAlign w:val="center"/>
          </w:tcPr>
          <w:p>
            <w:pPr>
              <w:pStyle w:val="TableContents"/>
              <w:bidi w:val="0"/>
              <w:spacing w:before="0" w:after="0"/>
              <w:jc w:val="left"/>
              <w:rPr>
                <w:b/>
                <w:u w:val="single"/>
              </w:rPr>
            </w:pPr>
            <w:r>
              <w:rPr>
                <w:b/>
                <w:u w:val="single"/>
              </w:rPr>
              <w:t>Severability</w:t>
            </w:r>
          </w:p>
        </w:tc>
      </w:tr>
    </w:tbl>
    <w:p>
      <w:pPr>
        <w:pStyle w:val="TextBody"/>
        <w:bidi w:val="0"/>
        <w:spacing w:before="0" w:after="0"/>
        <w:jc w:val="left"/>
        <w:rPr>
          <w:color w:val="000000"/>
        </w:rPr>
      </w:pPr>
      <w:r>
        <w:rPr>
          <w:color w:val="000000"/>
        </w:rPr>
        <w:t> </w:t>
      </w:r>
    </w:p>
    <w:p>
      <w:pPr>
        <w:pStyle w:val="TextBody"/>
        <w:bidi w:val="0"/>
        <w:spacing w:before="0" w:after="0"/>
        <w:ind w:left="100" w:right="118" w:firstLine="360"/>
        <w:jc w:val="both"/>
        <w:rPr>
          <w:rFonts w:ascii="Times New Roman" w:hAnsi="Times New Roman"/>
          <w:color w:val="000000"/>
          <w:sz w:val="20"/>
        </w:rPr>
      </w:pPr>
      <w:r>
        <w:rPr>
          <w:rFonts w:ascii="Times New Roman" w:hAnsi="Times New Roman"/>
          <w:color w:val="000000"/>
          <w:sz w:val="20"/>
        </w:rPr>
        <w:t>If any provision of this Policy or the application of any such provision to any Covered Executive shall be adjudicated to be invalid, illegal or unenforceable in any respect, such invalidity, illegality, or unenforceability shall not affect any other provisions of this Policy, and</w:t>
      </w:r>
    </w:p>
    <w:p>
      <w:pPr>
        <w:pStyle w:val="TextBody"/>
        <w:bidi w:val="0"/>
        <w:spacing w:before="0" w:after="0"/>
        <w:ind w:left="100" w:right="118" w:firstLine="3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100" w:right="0" w:hanging="0"/>
        <w:jc w:val="left"/>
        <w:rPr>
          <w:rFonts w:ascii="Times New Roman" w:hAnsi="Times New Roman"/>
          <w:color w:val="000000"/>
          <w:sz w:val="20"/>
        </w:rPr>
      </w:pPr>
      <w:r>
        <w:rPr>
          <w:rFonts w:ascii="Times New Roman" w:hAnsi="Times New Roman"/>
          <w:color w:val="000000"/>
          <w:sz w:val="20"/>
        </w:rPr>
        <w:t>the invalid, illegal, or unenforceable provisions shall be deemed amended to the minimum extent necessary to render any such provision or application enforceable.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6" w:name="ze7a202893da04bb1aeece4a362585ace"/>
      <w:bookmarkStart w:id="197" w:name="ze7a202893da04bb1aeece4a362585ace"/>
      <w:bookmarkEnd w:id="197"/>
    </w:p>
    <w:tbl>
      <w:tblPr>
        <w:tblW w:w="1743" w:type="dxa"/>
        <w:jc w:val="left"/>
        <w:tblInd w:w="0" w:type="dxa"/>
        <w:tblLayout w:type="fixed"/>
        <w:tblCellMar>
          <w:top w:w="0" w:type="dxa"/>
          <w:left w:w="0" w:type="dxa"/>
          <w:bottom w:w="0" w:type="dxa"/>
          <w:right w:w="0" w:type="dxa"/>
        </w:tblCellMar>
      </w:tblPr>
      <w:tblGrid>
        <w:gridCol w:w="38"/>
        <w:gridCol w:w="320"/>
        <w:gridCol w:w="138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11.</w:t>
            </w:r>
          </w:p>
        </w:tc>
        <w:tc>
          <w:tcPr>
            <w:tcW w:w="1385" w:type="dxa"/>
            <w:tcBorders/>
            <w:vAlign w:val="center"/>
          </w:tcPr>
          <w:p>
            <w:pPr>
              <w:pStyle w:val="TableContents"/>
              <w:bidi w:val="0"/>
              <w:spacing w:before="0" w:after="0"/>
              <w:jc w:val="left"/>
              <w:rPr>
                <w:b/>
                <w:u w:val="single"/>
              </w:rPr>
            </w:pPr>
            <w:r>
              <w:rPr>
                <w:b/>
                <w:u w:val="single"/>
              </w:rPr>
              <w:t>Amendments</w:t>
            </w:r>
          </w:p>
        </w:tc>
      </w:tr>
    </w:tbl>
    <w:p>
      <w:pPr>
        <w:pStyle w:val="TextBody"/>
        <w:bidi w:val="0"/>
        <w:spacing w:before="0" w:after="0"/>
        <w:jc w:val="left"/>
        <w:rPr>
          <w:color w:val="000000"/>
        </w:rPr>
      </w:pPr>
      <w:r>
        <w:rPr>
          <w:color w:val="000000"/>
        </w:rPr>
        <w:t> </w:t>
      </w:r>
    </w:p>
    <w:p>
      <w:pPr>
        <w:pStyle w:val="TextBody"/>
        <w:bidi w:val="0"/>
        <w:spacing w:before="0" w:after="0"/>
        <w:ind w:left="100" w:right="116" w:firstLine="360"/>
        <w:jc w:val="both"/>
        <w:rPr>
          <w:rFonts w:ascii="Times New Roman" w:hAnsi="Times New Roman"/>
          <w:color w:val="000000"/>
          <w:sz w:val="20"/>
        </w:rPr>
      </w:pPr>
      <w:r>
        <w:rPr>
          <w:rFonts w:ascii="Times New Roman" w:hAnsi="Times New Roman"/>
          <w:color w:val="000000"/>
          <w:sz w:val="20"/>
        </w:rPr>
        <w:t>The Committee may amend, modify or terminate this Policy in whole or in part at any time and may adopt such rules and procedures that it deems necessary or appropriate to implement this Policy or to comply with applicable laws and regulations.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8" w:name="z4aa58e1e3e7b4a33932521db9d3f67ea"/>
      <w:bookmarkStart w:id="199" w:name="z4aa58e1e3e7b4a33932521db9d3f67ea"/>
      <w:bookmarkEnd w:id="199"/>
    </w:p>
    <w:tbl>
      <w:tblPr>
        <w:tblW w:w="3918" w:type="dxa"/>
        <w:jc w:val="left"/>
        <w:tblInd w:w="0" w:type="dxa"/>
        <w:tblLayout w:type="fixed"/>
        <w:tblCellMar>
          <w:top w:w="0" w:type="dxa"/>
          <w:left w:w="0" w:type="dxa"/>
          <w:bottom w:w="0" w:type="dxa"/>
          <w:right w:w="0" w:type="dxa"/>
        </w:tblCellMar>
      </w:tblPr>
      <w:tblGrid>
        <w:gridCol w:w="38"/>
        <w:gridCol w:w="320"/>
        <w:gridCol w:w="35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12.</w:t>
            </w:r>
          </w:p>
        </w:tc>
        <w:tc>
          <w:tcPr>
            <w:tcW w:w="3560" w:type="dxa"/>
            <w:tcBorders/>
            <w:vAlign w:val="center"/>
          </w:tcPr>
          <w:p>
            <w:pPr>
              <w:pStyle w:val="TableContents"/>
              <w:bidi w:val="0"/>
              <w:spacing w:before="0" w:after="0"/>
              <w:jc w:val="left"/>
              <w:rPr>
                <w:b/>
                <w:u w:val="single"/>
              </w:rPr>
            </w:pPr>
            <w:r>
              <w:rPr>
                <w:b/>
                <w:u w:val="single"/>
              </w:rPr>
              <w:t>No Impairment of Other Remedies</w:t>
            </w:r>
          </w:p>
        </w:tc>
      </w:tr>
    </w:tbl>
    <w:p>
      <w:pPr>
        <w:pStyle w:val="TextBody"/>
        <w:bidi w:val="0"/>
        <w:spacing w:before="0" w:after="0"/>
        <w:jc w:val="left"/>
        <w:rPr>
          <w:color w:val="000000"/>
        </w:rPr>
      </w:pPr>
      <w:r>
        <w:rPr>
          <w:color w:val="000000"/>
        </w:rPr>
        <w:t> </w:t>
      </w:r>
    </w:p>
    <w:p>
      <w:pPr>
        <w:pStyle w:val="TextBody"/>
        <w:bidi w:val="0"/>
        <w:spacing w:before="0" w:after="0"/>
        <w:ind w:left="100" w:right="114" w:firstLine="360"/>
        <w:jc w:val="both"/>
        <w:rPr>
          <w:rFonts w:ascii="Times New Roman" w:hAnsi="Times New Roman"/>
          <w:color w:val="000000"/>
          <w:sz w:val="20"/>
        </w:rPr>
      </w:pPr>
      <w:r>
        <w:rPr>
          <w:rFonts w:ascii="Times New Roman" w:hAnsi="Times New Roman"/>
          <w:color w:val="000000"/>
          <w:sz w:val="20"/>
        </w:rPr>
        <w:t>The remedies under this Policy are in addition to, and not in lieu of, any legal and equitable claims the Company may have, the Company’s ability to enforce, without duplication, the recoupment provisions set forth in any separate Company policy or in any Company plan, program, or agreement (each, a “Separate Recoupment Policy” and collectively, the “Separate Recoupment Policies”), or any actions that may be imposed by law enforcement agencies, regulators, or other authorities. Notwithstanding the foregoing, in the event that there is a conflict between the application of this Policy to a Covered Executive in the event of a Restatement and any additional recoupment provisions set forth in a Separate Recoupment Policy to which a Covered Executive is subject, the provisions of this Policy shall control. The Company may also adopt additional Separate Recoupment Policies in the future or amend existing requirements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639300/000114036119012140/ex3_1.htm" TargetMode="External"/><Relationship Id="rId6" Type="http://schemas.openxmlformats.org/officeDocument/2006/relationships/hyperlink" Target="https://www.sec.gov/Archives/edgar/data/1639300/000114036119012140/ex3_2.htm" TargetMode="External"/><Relationship Id="rId7" Type="http://schemas.openxmlformats.org/officeDocument/2006/relationships/hyperlink" Target="https://www.sec.gov/Archives/edgar/data/1639300/000119312515248066/d897634dex41.htm" TargetMode="External"/><Relationship Id="rId8" Type="http://schemas.openxmlformats.org/officeDocument/2006/relationships/hyperlink" Target="https://www.sec.gov/Archives/edgar/data/1639300/000114036121009817/brhc10022152_ex4-2.htm" TargetMode="External"/><Relationship Id="rId9" Type="http://schemas.openxmlformats.org/officeDocument/2006/relationships/hyperlink" Target="https://www.sec.gov/Archives/edgar/data/1639300/000114036119009824/ex10_1.htm" TargetMode="External"/><Relationship Id="rId10" Type="http://schemas.openxmlformats.org/officeDocument/2006/relationships/hyperlink" Target="https://www.sec.gov/Archives/edgar/data/1639300/000114036123002892/brhc10047083_ex10-1.htm" TargetMode="External"/><Relationship Id="rId11" Type="http://schemas.openxmlformats.org/officeDocument/2006/relationships/hyperlink" Target="https://www.sec.gov/Archives/edgar/data/1639300/000114036124001559/ef20018502_ex10-1.htm" TargetMode="External"/><Relationship Id="rId12" Type="http://schemas.openxmlformats.org/officeDocument/2006/relationships/hyperlink" Target="https://www.sec.gov/Archives/edgar/data/1639300/000114036119009824/ex10_2.htm" TargetMode="External"/><Relationship Id="rId13" Type="http://schemas.openxmlformats.org/officeDocument/2006/relationships/hyperlink" Target="https://www.sec.gov/Archives/edgar/data/1639300/000119312515248066/d897634dex1091.htm" TargetMode="External"/><Relationship Id="rId14" Type="http://schemas.openxmlformats.org/officeDocument/2006/relationships/hyperlink" Target="https://www.sec.gov/Archives/edgar/data/1639300/000119312515248066/d897634dex1091.htm" TargetMode="External"/><Relationship Id="rId15" Type="http://schemas.openxmlformats.org/officeDocument/2006/relationships/hyperlink" Target="https://www.sec.gov/Archives/edgar/data/1639300/000119312515248066/d897634dex1091.htm" TargetMode="External"/><Relationship Id="rId16" Type="http://schemas.openxmlformats.org/officeDocument/2006/relationships/hyperlink" Target="https://www.sec.gov/Archives/edgar/data/1639300/000119312515222932/d897634dex1011.htm" TargetMode="External"/><Relationship Id="rId17" Type="http://schemas.openxmlformats.org/officeDocument/2006/relationships/hyperlink" Target="https://www.sec.gov/Archives/edgar/data/1639300/000119312515222932/d897634dex1013.htm" TargetMode="External"/><Relationship Id="rId18" Type="http://schemas.openxmlformats.org/officeDocument/2006/relationships/hyperlink" Target="https://www.sec.gov/Archives/edgar/data/1639300/000114036121015588/brhc10024014_ex10-1.htm" TargetMode="External"/><Relationship Id="rId19" Type="http://schemas.openxmlformats.org/officeDocument/2006/relationships/hyperlink" Target="https://www.sec.gov/Archives/edgar/data/1639300/000114036122024298/brhc10039217_ex10-1.htm" TargetMode="External"/><Relationship Id="rId20" Type="http://schemas.openxmlformats.org/officeDocument/2006/relationships/hyperlink" Target="https://www.sec.gov/Archives/edgar/data/1639300/000114036121040668/brhc10031437_ex10-1.htm" TargetMode="External"/><Relationship Id="rId21" Type="http://schemas.openxmlformats.org/officeDocument/2006/relationships/hyperlink" Target="https://www.sec.gov/Archives/edgar/data/1639300/000119312515222932/d897634dex1016.htm" TargetMode="External"/><Relationship Id="rId22" Type="http://schemas.openxmlformats.org/officeDocument/2006/relationships/hyperlink" Target="https://www.sec.gov/Archives/edgar/data/1639300/000119312515222932/d897634dex1017.htm" TargetMode="External"/><Relationship Id="rId23" Type="http://schemas.openxmlformats.org/officeDocument/2006/relationships/hyperlink" Target="https://www.sec.gov/Archives/edgar/data/1639300/000119312515253746/d13303dex41.htm" TargetMode="External"/><Relationship Id="rId24" Type="http://schemas.openxmlformats.org/officeDocument/2006/relationships/hyperlink" Target="https://www.sec.gov/Archives/edgar/data/1639300/000114036123013669/brhc10050136_ex10-15.htm" TargetMode="External"/><Relationship Id="rId25" Type="http://schemas.openxmlformats.org/officeDocument/2006/relationships/hyperlink" Target="https://www.sec.gov/Archives/edgar/data/1639300/000119312515244738/d897634dex1023.htm" TargetMode="External"/><Relationship Id="rId26" Type="http://schemas.openxmlformats.org/officeDocument/2006/relationships/hyperlink" Target="https://www.sec.gov/Archives/edgar/data/1639300/000119312516452595/d126115dex1024.htm" TargetMode="External"/><Relationship Id="rId27" Type="http://schemas.openxmlformats.org/officeDocument/2006/relationships/hyperlink" Target="https://www.sec.gov/Archives/edgar/data/1639300/000119312516452595/d126115dex1026.htm" TargetMode="External"/><Relationship Id="rId28" Type="http://schemas.openxmlformats.org/officeDocument/2006/relationships/hyperlink" Target="https://www.sec.gov/Archives/edgar/data/1639300/000114036118000963/ex10_2.htm" TargetMode="External"/><Relationship Id="rId29" Type="http://schemas.openxmlformats.org/officeDocument/2006/relationships/hyperlink" Target="https://www.sec.gov/Archives/edgar/data/1639300/000114036119022288/ex10_1.htm" TargetMode="External"/><Relationship Id="rId30" Type="http://schemas.openxmlformats.org/officeDocument/2006/relationships/hyperlink" Target="https://www.sec.gov/Archives/edgar/data/1639300/000114036121012938/brhc10023177_ex10-1.htm" TargetMode="External"/><Relationship Id="rId31" Type="http://schemas.openxmlformats.org/officeDocument/2006/relationships/hyperlink" Target="https://www.sec.gov/Archives/edgar/data/1639300/000114036122030519/brhc10041137_ex10-1.htm" TargetMode="External"/><Relationship Id="rId32" Type="http://schemas.openxmlformats.org/officeDocument/2006/relationships/hyperlink" Target="https://www.sec.gov/Archives/edgar/data/1639300/000114036122037319/brhc10042882_ex10-1.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47093</Words>
  <Characters>263120</Characters>
  <CharactersWithSpaces>311145</CharactersWithSpaces>
  <Paragraphs>7300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