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Date of report: June 11, 2026</w:t>
      </w:r>
    </w:p>
    <w:p>
      <w:pPr>
        <w:spacing w:after="0" w:line="3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Ollie's Bargain Outlet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ectPr>
          <w:pgSz w:w="11900" w:h="16838" w:orient="portrait"/>
          <w:cols w:equalWidth="0" w:num="1">
            <w:col w:w="11240"/>
          </w:cols>
          <w:pgMar w:left="320" w:top="513" w:right="33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001-37501</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80-0848819</w:t>
      </w:r>
    </w:p>
    <w:p>
      <w:pPr>
        <w:spacing w:after="0" w:line="31"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2">
            <w:col w:w="6480" w:space="720"/>
            <w:col w:w="4040"/>
          </w:cols>
          <w:pgMar w:left="320" w:top="513" w:right="339" w:bottom="1440" w:gutter="0" w:footer="0" w:header="0"/>
          <w:type w:val="continuous"/>
        </w:sectPr>
      </w:pPr>
    </w:p>
    <w:p>
      <w:pPr>
        <w:spacing w:after="0" w:line="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6295 Allentown Boulevard</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Suite 1</w:t>
      </w:r>
    </w:p>
    <w:p>
      <w:pPr>
        <w:spacing w:after="0" w:line="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Harrisburg, Pennsylvania</w:t>
      </w:r>
    </w:p>
    <w:p>
      <w:pPr>
        <w:spacing w:after="0" w:line="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17112</w:t>
      </w:r>
    </w:p>
    <w:p>
      <w:pPr>
        <w:spacing w:after="0" w:line="31"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440" w:space="720"/>
            <w:col w:w="2080"/>
          </w:cols>
          <w:pgMar w:left="320" w:top="51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(717) 657-2300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47"/>
        </w:trPr>
        <w:tc>
          <w:tcPr>
            <w:tcW w:w="3940" w:type="dxa"/>
            <w:vAlign w:val="bottom"/>
            <w:tcBorders>
              <w:top w:val="single" w:sz="8" w:color="auto"/>
              <w:left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Title of Each Class</w:t>
            </w:r>
          </w:p>
        </w:tc>
        <w:tc>
          <w:tcPr>
            <w:tcW w:w="2120" w:type="dxa"/>
            <w:vAlign w:val="bottom"/>
            <w:tcBorders>
              <w:top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Trading Symbol</w:t>
            </w:r>
          </w:p>
        </w:tc>
        <w:tc>
          <w:tcPr>
            <w:tcW w:w="5200" w:type="dxa"/>
            <w:vAlign w:val="bottom"/>
            <w:tcBorders>
              <w:top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7"/>
        </w:trPr>
        <w:tc>
          <w:tcPr>
            <w:tcW w:w="3940" w:type="dxa"/>
            <w:vAlign w:val="bottom"/>
            <w:tcBorders>
              <w:left w:val="single" w:sz="8" w:color="auto"/>
              <w:bottom w:val="single" w:sz="8" w:color="auto"/>
              <w:right w:val="single" w:sz="8" w:color="auto"/>
            </w:tcBorders>
          </w:tcPr>
          <w:p>
            <w:pPr>
              <w:ind w:left="760"/>
              <w:spacing w:after="0" w:line="200" w:lineRule="exact"/>
              <w:rPr>
                <w:sz w:val="20"/>
                <w:szCs w:val="20"/>
                <w:color w:val="auto"/>
              </w:rPr>
            </w:pPr>
            <w:r>
              <w:rPr>
                <w:rFonts w:ascii="Times New Roman" w:cs="Times New Roman" w:eastAsia="Times New Roman" w:hAnsi="Times New Roman"/>
                <w:sz w:val="18"/>
                <w:szCs w:val="18"/>
                <w:color w:val="auto"/>
              </w:rPr>
              <w:t>Common Stock, $0.001 par value</w:t>
            </w:r>
          </w:p>
        </w:tc>
        <w:tc>
          <w:tcPr>
            <w:tcW w:w="2120" w:type="dxa"/>
            <w:vAlign w:val="bottom"/>
            <w:tcBorders>
              <w:bottom w:val="single" w:sz="8" w:color="auto"/>
              <w:right w:val="single" w:sz="8" w:color="auto"/>
            </w:tcBorders>
          </w:tcPr>
          <w:p>
            <w:pPr>
              <w:ind w:left="840"/>
              <w:spacing w:after="0" w:line="200" w:lineRule="exact"/>
              <w:rPr>
                <w:sz w:val="20"/>
                <w:szCs w:val="20"/>
                <w:color w:val="auto"/>
              </w:rPr>
            </w:pPr>
            <w:r>
              <w:rPr>
                <w:rFonts w:ascii="Times New Roman" w:cs="Times New Roman" w:eastAsia="Times New Roman" w:hAnsi="Times New Roman"/>
                <w:sz w:val="18"/>
                <w:szCs w:val="18"/>
                <w:color w:val="auto"/>
              </w:rPr>
              <w:t>OLLI</w:t>
            </w:r>
          </w:p>
        </w:tc>
        <w:tc>
          <w:tcPr>
            <w:tcW w:w="5200" w:type="dxa"/>
            <w:vAlign w:val="bottom"/>
            <w:tcBorders>
              <w:bottom w:val="single" w:sz="8" w:color="auto"/>
              <w:right w:val="single" w:sz="8" w:color="auto"/>
            </w:tcBorders>
          </w:tcPr>
          <w:p>
            <w:pPr>
              <w:ind w:left="1340"/>
              <w:spacing w:after="0" w:line="200" w:lineRule="exact"/>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June 11, 2026, Ollie’s Bargain Outlet Holdings, Inc. (the “Company”) held its annual meeting of stockholders (the “Annual Meeting”). The matters voted upon at the Annual Meeting and the final voting results were as follows:</w:t>
      </w:r>
    </w:p>
    <w:p>
      <w:pPr>
        <w:spacing w:after="0" w:line="162" w:lineRule="exact"/>
        <w:rPr>
          <w:sz w:val="20"/>
          <w:szCs w:val="20"/>
          <w:color w:val="auto"/>
        </w:rPr>
      </w:pPr>
    </w:p>
    <w:p>
      <w:pPr>
        <w:ind w:right="80" w:firstLine="8"/>
        <w:spacing w:after="0" w:line="282"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ten (10) directors to the Board of Directors of the Company to hold office until the 2027 annual meeting of stockholders or until their respective successors are elected and qualified.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stockholders of the Company approved the election of each of the ten (10) director nominees proposed by the Company. The voting results are set forth below:</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160" w:type="dxa"/>
            <w:vAlign w:val="bottom"/>
            <w:tcBorders>
              <w:top w:val="single" w:sz="8" w:color="auto"/>
              <w:left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200" w:type="dxa"/>
            <w:vAlign w:val="bottom"/>
            <w:tcBorders>
              <w:top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30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34"/>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82"/>
        </w:trPr>
        <w:tc>
          <w:tcPr>
            <w:tcW w:w="316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Alissa Ahlman</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54,728,157</w:t>
            </w:r>
          </w:p>
        </w:tc>
        <w:tc>
          <w:tcPr>
            <w:tcW w:w="22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1,236,247</w:t>
            </w:r>
          </w:p>
        </w:tc>
        <w:tc>
          <w:tcPr>
            <w:tcW w:w="13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114,901</w:t>
            </w:r>
          </w:p>
        </w:tc>
        <w:tc>
          <w:tcPr>
            <w:tcW w:w="2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1,304,574</w:t>
            </w:r>
          </w:p>
        </w:tc>
      </w:tr>
      <w:tr>
        <w:trPr>
          <w:trHeight w:val="243"/>
        </w:trPr>
        <w:tc>
          <w:tcPr>
            <w:tcW w:w="31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Mary Baglivo</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54,714,792</w:t>
            </w:r>
          </w:p>
        </w:tc>
        <w:tc>
          <w:tcPr>
            <w:tcW w:w="2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1,249,719</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114,794</w:t>
            </w:r>
          </w:p>
        </w:tc>
        <w:tc>
          <w:tcPr>
            <w:tcW w:w="2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1,304,574</w:t>
            </w:r>
          </w:p>
        </w:tc>
      </w:tr>
      <w:tr>
        <w:trPr>
          <w:trHeight w:val="34"/>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82"/>
        </w:trPr>
        <w:tc>
          <w:tcPr>
            <w:tcW w:w="316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Robert Fisch</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54,535,356</w:t>
            </w:r>
          </w:p>
        </w:tc>
        <w:tc>
          <w:tcPr>
            <w:tcW w:w="22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1,490,922</w:t>
            </w:r>
          </w:p>
        </w:tc>
        <w:tc>
          <w:tcPr>
            <w:tcW w:w="13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53,027</w:t>
            </w:r>
          </w:p>
        </w:tc>
        <w:tc>
          <w:tcPr>
            <w:tcW w:w="2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1,304,574</w:t>
            </w:r>
          </w:p>
        </w:tc>
      </w:tr>
      <w:tr>
        <w:trPr>
          <w:trHeight w:val="243"/>
        </w:trPr>
        <w:tc>
          <w:tcPr>
            <w:tcW w:w="31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Stanley Fleishman</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50,825,404</w:t>
            </w:r>
          </w:p>
        </w:tc>
        <w:tc>
          <w:tcPr>
            <w:tcW w:w="2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5,208,274</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45,627</w:t>
            </w:r>
          </w:p>
        </w:tc>
        <w:tc>
          <w:tcPr>
            <w:tcW w:w="2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1,304,574</w:t>
            </w:r>
          </w:p>
        </w:tc>
      </w:tr>
      <w:tr>
        <w:trPr>
          <w:trHeight w:val="34"/>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82"/>
        </w:trPr>
        <w:tc>
          <w:tcPr>
            <w:tcW w:w="316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Thomas Hendrickson</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54,320,093</w:t>
            </w:r>
          </w:p>
        </w:tc>
        <w:tc>
          <w:tcPr>
            <w:tcW w:w="22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1,705,829</w:t>
            </w:r>
          </w:p>
        </w:tc>
        <w:tc>
          <w:tcPr>
            <w:tcW w:w="13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53,383</w:t>
            </w:r>
          </w:p>
        </w:tc>
        <w:tc>
          <w:tcPr>
            <w:tcW w:w="2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1,304,574</w:t>
            </w:r>
          </w:p>
        </w:tc>
      </w:tr>
      <w:tr>
        <w:trPr>
          <w:trHeight w:val="243"/>
        </w:trPr>
        <w:tc>
          <w:tcPr>
            <w:tcW w:w="31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Abid Rizvi</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54,745,358</w:t>
            </w:r>
          </w:p>
        </w:tc>
        <w:tc>
          <w:tcPr>
            <w:tcW w:w="2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1,225,883</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108,064</w:t>
            </w:r>
          </w:p>
        </w:tc>
        <w:tc>
          <w:tcPr>
            <w:tcW w:w="2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1,304,574</w:t>
            </w:r>
          </w:p>
        </w:tc>
      </w:tr>
      <w:tr>
        <w:trPr>
          <w:trHeight w:val="34"/>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82"/>
        </w:trPr>
        <w:tc>
          <w:tcPr>
            <w:tcW w:w="316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John Swygert</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54,590,610</w:t>
            </w:r>
          </w:p>
        </w:tc>
        <w:tc>
          <w:tcPr>
            <w:tcW w:w="22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1,442,654</w:t>
            </w:r>
          </w:p>
        </w:tc>
        <w:tc>
          <w:tcPr>
            <w:tcW w:w="13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46,041</w:t>
            </w:r>
          </w:p>
        </w:tc>
        <w:tc>
          <w:tcPr>
            <w:tcW w:w="2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1,304,574</w:t>
            </w:r>
          </w:p>
        </w:tc>
      </w:tr>
      <w:tr>
        <w:trPr>
          <w:trHeight w:val="243"/>
        </w:trPr>
        <w:tc>
          <w:tcPr>
            <w:tcW w:w="31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Eric van der Valk</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55,526,914</w:t>
            </w:r>
          </w:p>
        </w:tc>
        <w:tc>
          <w:tcPr>
            <w:tcW w:w="2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506,751</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45,640</w:t>
            </w:r>
          </w:p>
        </w:tc>
        <w:tc>
          <w:tcPr>
            <w:tcW w:w="2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1,304,574</w:t>
            </w:r>
          </w:p>
        </w:tc>
      </w:tr>
      <w:tr>
        <w:trPr>
          <w:trHeight w:val="34"/>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82"/>
        </w:trPr>
        <w:tc>
          <w:tcPr>
            <w:tcW w:w="316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Stephen White</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54,660,253</w:t>
            </w:r>
          </w:p>
        </w:tc>
        <w:tc>
          <w:tcPr>
            <w:tcW w:w="22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1,373,366</w:t>
            </w:r>
          </w:p>
        </w:tc>
        <w:tc>
          <w:tcPr>
            <w:tcW w:w="13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45,686</w:t>
            </w:r>
          </w:p>
        </w:tc>
        <w:tc>
          <w:tcPr>
            <w:tcW w:w="2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1,304,574</w:t>
            </w:r>
          </w:p>
        </w:tc>
      </w:tr>
      <w:tr>
        <w:trPr>
          <w:trHeight w:val="243"/>
        </w:trPr>
        <w:tc>
          <w:tcPr>
            <w:tcW w:w="31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Richard Zannino</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53,663,254</w:t>
            </w:r>
          </w:p>
        </w:tc>
        <w:tc>
          <w:tcPr>
            <w:tcW w:w="2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2,362,766</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53,285</w:t>
            </w:r>
          </w:p>
        </w:tc>
        <w:tc>
          <w:tcPr>
            <w:tcW w:w="2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1,304,574</w:t>
            </w:r>
          </w:p>
        </w:tc>
      </w:tr>
      <w:tr>
        <w:trPr>
          <w:trHeight w:val="34"/>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To approve, on a non-binding advisory basis, the compensation of the Company’s named executive officers.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stockholders of the Company approved a non-binding advisory resolution regarding the compensation of the Company's named executive officers. The voting results are set forth below:</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2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7"/>
        </w:trPr>
        <w:tc>
          <w:tcPr>
            <w:tcW w:w="2400" w:type="dxa"/>
            <w:vAlign w:val="bottom"/>
            <w:tcBorders>
              <w:top w:val="single" w:sz="8" w:color="auto"/>
              <w:left w:val="single" w:sz="8" w:color="auto"/>
              <w:bottom w:val="single" w:sz="8" w:color="auto"/>
              <w:right w:val="single" w:sz="8" w:color="auto"/>
            </w:tcBorders>
            <w:shd w:val="clear" w:color="auto" w:fill="CCEEFF"/>
          </w:tcPr>
          <w:p>
            <w:pPr>
              <w:jc w:val="right"/>
              <w:ind w:right="710"/>
              <w:spacing w:after="0" w:line="200" w:lineRule="exact"/>
              <w:rPr>
                <w:sz w:val="20"/>
                <w:szCs w:val="20"/>
                <w:color w:val="auto"/>
              </w:rPr>
            </w:pPr>
            <w:r>
              <w:rPr>
                <w:rFonts w:ascii="Times New Roman" w:cs="Times New Roman" w:eastAsia="Times New Roman" w:hAnsi="Times New Roman"/>
                <w:sz w:val="18"/>
                <w:szCs w:val="18"/>
                <w:color w:val="auto"/>
              </w:rPr>
              <w:t>55,050,394</w:t>
            </w:r>
          </w:p>
        </w:tc>
        <w:tc>
          <w:tcPr>
            <w:tcW w:w="3080" w:type="dxa"/>
            <w:vAlign w:val="bottom"/>
            <w:tcBorders>
              <w:top w:val="single" w:sz="8" w:color="auto"/>
              <w:bottom w:val="single" w:sz="8" w:color="auto"/>
              <w:right w:val="single" w:sz="8" w:color="auto"/>
            </w:tcBorders>
            <w:shd w:val="clear" w:color="auto" w:fill="CCEEFF"/>
          </w:tcPr>
          <w:p>
            <w:pPr>
              <w:jc w:val="right"/>
              <w:ind w:right="1170"/>
              <w:spacing w:after="0" w:line="200" w:lineRule="exact"/>
              <w:rPr>
                <w:sz w:val="20"/>
                <w:szCs w:val="20"/>
                <w:color w:val="auto"/>
              </w:rPr>
            </w:pPr>
            <w:r>
              <w:rPr>
                <w:rFonts w:ascii="Times New Roman" w:cs="Times New Roman" w:eastAsia="Times New Roman" w:hAnsi="Times New Roman"/>
                <w:sz w:val="18"/>
                <w:szCs w:val="18"/>
                <w:color w:val="auto"/>
              </w:rPr>
              <w:t>986,302</w:t>
            </w:r>
          </w:p>
        </w:tc>
        <w:tc>
          <w:tcPr>
            <w:tcW w:w="1760" w:type="dxa"/>
            <w:vAlign w:val="bottom"/>
            <w:tcBorders>
              <w:top w:val="single" w:sz="8" w:color="auto"/>
              <w:bottom w:val="single" w:sz="8" w:color="auto"/>
              <w:right w:val="single" w:sz="8" w:color="auto"/>
            </w:tcBorders>
            <w:shd w:val="clear" w:color="auto" w:fill="CCEEFF"/>
          </w:tcPr>
          <w:p>
            <w:pPr>
              <w:jc w:val="right"/>
              <w:ind w:right="550"/>
              <w:spacing w:after="0" w:line="200" w:lineRule="exact"/>
              <w:rPr>
                <w:sz w:val="20"/>
                <w:szCs w:val="20"/>
                <w:color w:val="auto"/>
              </w:rPr>
            </w:pPr>
            <w:r>
              <w:rPr>
                <w:rFonts w:ascii="Times New Roman" w:cs="Times New Roman" w:eastAsia="Times New Roman" w:hAnsi="Times New Roman"/>
                <w:sz w:val="18"/>
                <w:szCs w:val="18"/>
                <w:color w:val="auto"/>
              </w:rPr>
              <w:t>42,609</w:t>
            </w:r>
          </w:p>
        </w:tc>
        <w:tc>
          <w:tcPr>
            <w:tcW w:w="4000" w:type="dxa"/>
            <w:vAlign w:val="bottom"/>
            <w:tcBorders>
              <w:top w:val="single" w:sz="8" w:color="CCEEFF"/>
              <w:bottom w:val="single" w:sz="8" w:color="auto"/>
              <w:right w:val="single" w:sz="8" w:color="auto"/>
            </w:tcBorders>
            <w:shd w:val="clear" w:color="auto" w:fill="CCEEFF"/>
          </w:tcPr>
          <w:p>
            <w:pPr>
              <w:jc w:val="right"/>
              <w:ind w:right="1570"/>
              <w:spacing w:after="0" w:line="200" w:lineRule="exact"/>
              <w:rPr>
                <w:sz w:val="20"/>
                <w:szCs w:val="20"/>
                <w:color w:val="auto"/>
              </w:rPr>
            </w:pPr>
            <w:r>
              <w:rPr>
                <w:rFonts w:ascii="Times New Roman" w:cs="Times New Roman" w:eastAsia="Times New Roman" w:hAnsi="Times New Roman"/>
                <w:sz w:val="18"/>
                <w:szCs w:val="18"/>
                <w:color w:val="auto"/>
              </w:rPr>
              <w:t>1,304,574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To ratify the appointment of KPMG LLP as the Company’s independent registered public accounting firm for the fiscal year ending January 30, 2027.</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stockholders of the Company ratified the appointment of KPMG LLP as the Company's independent registered public accounting firm for the fiscal year ending January 30, 2027. The voting results are set forth below:</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37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4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06"/>
        </w:trPr>
        <w:tc>
          <w:tcPr>
            <w:tcW w:w="3700" w:type="dxa"/>
            <w:vAlign w:val="bottom"/>
            <w:tcBorders>
              <w:top w:val="single" w:sz="8" w:color="auto"/>
              <w:left w:val="single" w:sz="8" w:color="auto"/>
              <w:bottom w:val="single" w:sz="8" w:color="auto"/>
              <w:right w:val="single" w:sz="8" w:color="auto"/>
            </w:tcBorders>
            <w:shd w:val="clear" w:color="auto" w:fill="CCEEFF"/>
          </w:tcPr>
          <w:p>
            <w:pPr>
              <w:jc w:val="right"/>
              <w:ind w:right="1350"/>
              <w:spacing w:after="0" w:line="200" w:lineRule="exact"/>
              <w:rPr>
                <w:sz w:val="20"/>
                <w:szCs w:val="20"/>
                <w:color w:val="auto"/>
              </w:rPr>
            </w:pPr>
            <w:r>
              <w:rPr>
                <w:rFonts w:ascii="Times New Roman" w:cs="Times New Roman" w:eastAsia="Times New Roman" w:hAnsi="Times New Roman"/>
                <w:sz w:val="18"/>
                <w:szCs w:val="18"/>
                <w:color w:val="auto"/>
              </w:rPr>
              <w:t>56,971,351</w:t>
            </w:r>
          </w:p>
        </w:tc>
        <w:tc>
          <w:tcPr>
            <w:tcW w:w="4800" w:type="dxa"/>
            <w:vAlign w:val="bottom"/>
            <w:tcBorders>
              <w:top w:val="single" w:sz="8" w:color="auto"/>
              <w:bottom w:val="single" w:sz="8" w:color="auto"/>
              <w:right w:val="single" w:sz="8" w:color="auto"/>
            </w:tcBorders>
            <w:shd w:val="clear" w:color="auto" w:fill="CCEEFF"/>
          </w:tcPr>
          <w:p>
            <w:pPr>
              <w:jc w:val="right"/>
              <w:ind w:right="2030"/>
              <w:spacing w:after="0" w:line="200" w:lineRule="exact"/>
              <w:rPr>
                <w:sz w:val="20"/>
                <w:szCs w:val="20"/>
                <w:color w:val="auto"/>
              </w:rPr>
            </w:pPr>
            <w:r>
              <w:rPr>
                <w:rFonts w:ascii="Times New Roman" w:cs="Times New Roman" w:eastAsia="Times New Roman" w:hAnsi="Times New Roman"/>
                <w:sz w:val="18"/>
                <w:szCs w:val="18"/>
                <w:color w:val="auto"/>
              </w:rPr>
              <w:t>368,150</w:t>
            </w:r>
          </w:p>
        </w:tc>
        <w:tc>
          <w:tcPr>
            <w:tcW w:w="2740" w:type="dxa"/>
            <w:vAlign w:val="bottom"/>
            <w:tcBorders>
              <w:top w:val="single" w:sz="8" w:color="CCEEFF"/>
              <w:bottom w:val="single" w:sz="8" w:color="auto"/>
              <w:right w:val="single" w:sz="8" w:color="auto"/>
            </w:tcBorders>
            <w:shd w:val="clear" w:color="auto" w:fill="CCEEFF"/>
          </w:tcPr>
          <w:p>
            <w:pPr>
              <w:jc w:val="right"/>
              <w:ind w:right="1050"/>
              <w:spacing w:after="0" w:line="200" w:lineRule="exact"/>
              <w:rPr>
                <w:sz w:val="20"/>
                <w:szCs w:val="20"/>
                <w:color w:val="auto"/>
              </w:rPr>
            </w:pPr>
            <w:r>
              <w:rPr>
                <w:rFonts w:ascii="Times New Roman" w:cs="Times New Roman" w:eastAsia="Times New Roman" w:hAnsi="Times New Roman"/>
                <w:sz w:val="18"/>
                <w:szCs w:val="18"/>
                <w:color w:val="auto"/>
              </w:rPr>
              <w:t>44,378</w:t>
            </w:r>
          </w:p>
        </w:tc>
      </w:tr>
      <w:tr>
        <w:trPr>
          <w:trHeight w:val="399"/>
        </w:trPr>
        <w:tc>
          <w:tcPr>
            <w:tcW w:w="370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OLLIE’S BARGAIN OUTLET HOLDINGS, INC.</w:t>
      </w:r>
    </w:p>
    <w:p>
      <w:pPr>
        <w:spacing w:after="0" w:line="22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By: /s/ Jared Shure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17145</wp:posOffset>
            </wp:positionV>
            <wp:extent cx="54349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34965" cy="17145"/>
                    </a:xfrm>
                    <a:prstGeom prst="rect">
                      <a:avLst/>
                    </a:prstGeom>
                    <a:noFill/>
                  </pic:spPr>
                </pic:pic>
              </a:graphicData>
            </a:graphic>
          </wp:anchor>
        </w:drawing>
      </w:r>
    </w:p>
    <w:p>
      <w:pPr>
        <w:spacing w:after="0" w:line="23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Name:Jared Shure</w:t>
      </w:r>
    </w:p>
    <w:p>
      <w:pPr>
        <w:spacing w:after="0" w:line="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Title: Senior Vice President, 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2026-06-15T15:05:48Z</dcterms:created>
  <dcterms:modified xsi:type="dcterms:W3CDTF">2026-06-15T15:05:48Z</dcterms:modified>
</cp:coreProperties>
</file>