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131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3156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Comitale James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40"/>
        <w:spacing w:after="0" w:line="284"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BOULEVARD, SUITE 1</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HARRISBURG</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17112</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Ollie's Bargain Outlet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OLLI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1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7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04/01/2026</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1"/>
                <w:vertAlign w:val="subscript"/>
              </w:rPr>
              <w:t>M</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jc w:val="right"/>
              <w:ind w:right="106"/>
              <w:spacing w:after="0"/>
              <w:rPr>
                <w:sz w:val="20"/>
                <w:szCs w:val="20"/>
                <w:color w:val="auto"/>
              </w:rPr>
            </w:pPr>
            <w:r>
              <w:rPr>
                <w:rFonts w:ascii="Times New Roman" w:cs="Times New Roman" w:eastAsia="Times New Roman" w:hAnsi="Times New Roman"/>
                <w:sz w:val="17"/>
                <w:szCs w:val="17"/>
                <w:color w:val="0000FF"/>
              </w:rPr>
              <w:t>758</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4,743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04/01/2026</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right"/>
              <w:ind w:right="106"/>
              <w:spacing w:after="0"/>
              <w:rPr>
                <w:sz w:val="20"/>
                <w:szCs w:val="20"/>
                <w:color w:val="auto"/>
              </w:rPr>
            </w:pPr>
            <w:r>
              <w:rPr>
                <w:rFonts w:ascii="Times New Roman" w:cs="Times New Roman" w:eastAsia="Times New Roman" w:hAnsi="Times New Roman"/>
                <w:sz w:val="17"/>
                <w:szCs w:val="17"/>
                <w:color w:val="0000FF"/>
              </w:rPr>
              <w:t>335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91.24</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4,408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04/01/2026</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1"/>
                <w:vertAlign w:val="subscript"/>
              </w:rPr>
              <w:t>M</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jc w:val="right"/>
              <w:ind w:right="106"/>
              <w:spacing w:after="0"/>
              <w:rPr>
                <w:sz w:val="20"/>
                <w:szCs w:val="20"/>
                <w:color w:val="auto"/>
              </w:rPr>
            </w:pPr>
            <w:r>
              <w:rPr>
                <w:rFonts w:ascii="Times New Roman" w:cs="Times New Roman" w:eastAsia="Times New Roman" w:hAnsi="Times New Roman"/>
                <w:sz w:val="17"/>
                <w:szCs w:val="17"/>
                <w:color w:val="0000FF"/>
              </w:rPr>
              <w:t>491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4,899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04/01/2026</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right"/>
              <w:ind w:right="106"/>
              <w:spacing w:after="0"/>
              <w:rPr>
                <w:sz w:val="20"/>
                <w:szCs w:val="20"/>
                <w:color w:val="auto"/>
              </w:rPr>
            </w:pPr>
            <w:r>
              <w:rPr>
                <w:rFonts w:ascii="Times New Roman" w:cs="Times New Roman" w:eastAsia="Times New Roman" w:hAnsi="Times New Roman"/>
                <w:sz w:val="17"/>
                <w:szCs w:val="17"/>
                <w:color w:val="0000FF"/>
              </w:rPr>
              <w:t>217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91.24</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4,682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758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9"/>
              <w:spacing w:after="0" w:line="144"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758</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1,515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9"/>
              <w:spacing w:after="0" w:line="144"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491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1,473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restricted stock awards into common stock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equivalent to the fair market value based on the closing market price as of April 1,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RSUs represents a contingent right to receive one share of Common Stock at vesting.</w:t>
      </w:r>
    </w:p>
    <w:p>
      <w:pPr>
        <w:spacing w:after="0" w:line="45"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2024, subject to continued service through each applicable vesting date. The reporting person was granted 3,031 RSUs, of which 758 vested on April 1, 2025; 758 vested on April 1, 2026; 757 vest on April 1, 2027; and 758 vest on April 1, 2028.</w:t>
      </w:r>
    </w:p>
    <w:p>
      <w:pPr>
        <w:spacing w:after="0" w:line="14"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2025, subject to continued service through each applicable vesting date. The reporting person was granted 1,964 RSUs, of which 491 vested on April 1, 2026; 491 vest on April 1, 2027; 491 vest on April 1, 2028; and 491 vest on April 1, 2029.</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J. Comitale</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04/03/2026</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9656" TargetMode="External"/><Relationship Id="rId14"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2026-04-03T16:03:25Z</dcterms:created>
  <dcterms:modified xsi:type="dcterms:W3CDTF">2026-04-03T16:03:25Z</dcterms:modified>
</cp:coreProperties>
</file>