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0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095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Shure Jared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20" w:type="dxa"/>
            <w:vAlign w:val="bottom"/>
            <w:tcBorders>
              <w:top w:val="single" w:sz="8" w:color="0000EE"/>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Ollie's Bargain Outlet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OLLI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OLLIE'S BARGAIN OUTLET</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HOLDINGS, INC</w:t>
      </w:r>
    </w:p>
    <w:p>
      <w:pPr>
        <w:spacing w:after="0" w:line="56" w:lineRule="exact"/>
        <w:rPr>
          <w:sz w:val="24"/>
          <w:szCs w:val="24"/>
          <w:color w:val="auto"/>
        </w:rPr>
      </w:pPr>
    </w:p>
    <w:p>
      <w:pPr>
        <w:ind w:left="140" w:right="1197"/>
        <w:spacing w:after="0" w:line="275" w:lineRule="auto"/>
        <w:rPr>
          <w:sz w:val="20"/>
          <w:szCs w:val="20"/>
          <w:color w:val="auto"/>
        </w:rPr>
      </w:pPr>
      <w:r>
        <w:rPr>
          <w:rFonts w:ascii="Times New Roman" w:cs="Times New Roman" w:eastAsia="Times New Roman" w:hAnsi="Times New Roman"/>
          <w:sz w:val="20"/>
          <w:szCs w:val="20"/>
          <w:color w:val="0000FF"/>
        </w:rPr>
        <w:t>6295 ALLENTOWN BOULEVARD, SUITE 1</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0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7"/>
                <w:szCs w:val="17"/>
                <w:color w:val="auto"/>
              </w:rPr>
            </w:pPr>
          </w:p>
        </w:tc>
      </w:tr>
      <w:tr>
        <w:trPr>
          <w:trHeight w:val="265"/>
        </w:trPr>
        <w:tc>
          <w:tcPr>
            <w:tcW w:w="19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HARRISBURG PA</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17112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83"/>
        <w:spacing w:after="0"/>
        <w:rPr>
          <w:sz w:val="20"/>
          <w:szCs w:val="20"/>
          <w:color w:val="auto"/>
        </w:rPr>
      </w:pPr>
      <w:r>
        <w:rPr>
          <w:rFonts w:ascii="Times New Roman" w:cs="Times New Roman" w:eastAsia="Times New Roman" w:hAnsi="Times New Roman"/>
          <w:sz w:val="20"/>
          <w:szCs w:val="20"/>
          <w:color w:val="0000FF"/>
        </w:rPr>
        <w:t>SVP, General Counsel</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3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2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80" w:type="dxa"/>
            <w:vAlign w:val="bottom"/>
            <w:vMerge w:val="restart"/>
          </w:tcPr>
          <w:p>
            <w:pPr>
              <w:ind w:left="62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ind w:left="62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ind w:left="62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00" w:type="dxa"/>
            <w:vAlign w:val="bottom"/>
          </w:tcPr>
          <w:p>
            <w:pPr>
              <w:spacing w:after="0"/>
              <w:rPr>
                <w:sz w:val="14"/>
                <w:szCs w:val="14"/>
                <w:color w:val="auto"/>
              </w:rPr>
            </w:pPr>
          </w:p>
        </w:tc>
        <w:tc>
          <w:tcPr>
            <w:tcW w:w="1280" w:type="dxa"/>
            <w:vAlign w:val="bottom"/>
          </w:tcPr>
          <w:p>
            <w:pPr>
              <w:ind w:left="62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0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1280" w:type="dxa"/>
            <w:vAlign w:val="bottom"/>
          </w:tcPr>
          <w:p>
            <w:pPr>
              <w:ind w:left="62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84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008000"/>
              </w:rPr>
              <w:t>(1)</w:t>
            </w:r>
          </w:p>
        </w:tc>
        <w:tc>
          <w:tcPr>
            <w:tcW w:w="1160" w:type="dxa"/>
            <w:vAlign w:val="bottom"/>
            <w:vMerge w:val="restart"/>
          </w:tcPr>
          <w:p>
            <w:pPr>
              <w:jc w:val="right"/>
              <w:ind w:right="151"/>
              <w:spacing w:after="0"/>
              <w:rPr>
                <w:sz w:val="20"/>
                <w:szCs w:val="20"/>
                <w:color w:val="auto"/>
              </w:rPr>
            </w:pPr>
            <w:r>
              <w:rPr>
                <w:rFonts w:ascii="Times New Roman" w:cs="Times New Roman" w:eastAsia="Times New Roman" w:hAnsi="Times New Roman"/>
                <w:sz w:val="15"/>
                <w:szCs w:val="15"/>
                <w:color w:val="0000FF"/>
              </w:rPr>
              <w:t>06/01/2036</w:t>
            </w:r>
          </w:p>
        </w:tc>
        <w:tc>
          <w:tcPr>
            <w:tcW w:w="16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Common Stock</w:t>
            </w:r>
          </w:p>
        </w:tc>
        <w:tc>
          <w:tcPr>
            <w:tcW w:w="880" w:type="dxa"/>
            <w:vAlign w:val="bottom"/>
            <w:vMerge w:val="restart"/>
          </w:tcPr>
          <w:p>
            <w:pPr>
              <w:jc w:val="right"/>
              <w:ind w:right="102"/>
              <w:spacing w:after="0"/>
              <w:rPr>
                <w:sz w:val="20"/>
                <w:szCs w:val="20"/>
                <w:color w:val="auto"/>
              </w:rPr>
            </w:pPr>
            <w:r>
              <w:rPr>
                <w:rFonts w:ascii="Times New Roman" w:cs="Times New Roman" w:eastAsia="Times New Roman" w:hAnsi="Times New Roman"/>
                <w:sz w:val="20"/>
                <w:szCs w:val="20"/>
                <w:color w:val="0000FF"/>
              </w:rPr>
              <w:t>6,918</w:t>
            </w:r>
          </w:p>
        </w:tc>
        <w:tc>
          <w:tcPr>
            <w:tcW w:w="980" w:type="dxa"/>
            <w:vAlign w:val="bottom"/>
            <w:vMerge w:val="restart"/>
          </w:tcPr>
          <w:p>
            <w:pPr>
              <w:jc w:val="right"/>
              <w:ind w:right="260"/>
              <w:spacing w:after="0"/>
              <w:rPr>
                <w:sz w:val="20"/>
                <w:szCs w:val="20"/>
                <w:color w:val="auto"/>
              </w:rPr>
            </w:pPr>
            <w:r>
              <w:rPr>
                <w:rFonts w:ascii="Times New Roman" w:cs="Times New Roman" w:eastAsia="Times New Roman" w:hAnsi="Times New Roman"/>
                <w:sz w:val="20"/>
                <w:szCs w:val="20"/>
                <w:color w:val="0000FF"/>
              </w:rPr>
              <w:t>80.86</w:t>
            </w:r>
          </w:p>
        </w:tc>
        <w:tc>
          <w:tcPr>
            <w:tcW w:w="2360" w:type="dxa"/>
            <w:vAlign w:val="bottom"/>
            <w:gridSpan w:val="2"/>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8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2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8000"/>
              </w:rPr>
              <w:t>(2)</w:t>
            </w:r>
          </w:p>
        </w:tc>
        <w:tc>
          <w:tcPr>
            <w:tcW w:w="1160" w:type="dxa"/>
            <w:vAlign w:val="bottom"/>
          </w:tcPr>
          <w:p>
            <w:pPr>
              <w:jc w:val="right"/>
              <w:ind w:right="411"/>
              <w:spacing w:after="0"/>
              <w:rPr>
                <w:sz w:val="20"/>
                <w:szCs w:val="20"/>
                <w:color w:val="auto"/>
              </w:rPr>
            </w:pPr>
            <w:r>
              <w:rPr>
                <w:rFonts w:ascii="Times New Roman" w:cs="Times New Roman" w:eastAsia="Times New Roman" w:hAnsi="Times New Roman"/>
                <w:sz w:val="13"/>
                <w:szCs w:val="13"/>
                <w:color w:val="008000"/>
              </w:rPr>
              <w:t>(2)</w:t>
            </w:r>
          </w:p>
        </w:tc>
        <w:tc>
          <w:tcPr>
            <w:tcW w:w="16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Common Stock</w:t>
            </w:r>
          </w:p>
        </w:tc>
        <w:tc>
          <w:tcPr>
            <w:tcW w:w="8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0000FF"/>
              </w:rPr>
              <w:t>3,092</w:t>
            </w: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13"/>
                <w:szCs w:val="13"/>
                <w:color w:val="008000"/>
              </w:rPr>
              <w:t>(3)</w:t>
            </w:r>
          </w:p>
        </w:tc>
        <w:tc>
          <w:tcPr>
            <w:tcW w:w="236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Options vest and become exercisable in 25% installments on each anniversary date of the grant, June 1, 2026, subject to continued service through each applicable vesting date. The reporting person was granted 6,918 options, of which 1,729 vest on June 1, 2027; 1,730 vest on June 1, 2028; 1,729 vest on June 1, 2029; and 1,730 vest on June 1, 2030.</w:t>
      </w:r>
    </w:p>
    <w:p>
      <w:pPr>
        <w:spacing w:after="0" w:line="17" w:lineRule="exact"/>
        <w:rPr>
          <w:rFonts w:ascii="Times New Roman" w:cs="Times New Roman" w:eastAsia="Times New Roman" w:hAnsi="Times New Roman"/>
          <w:sz w:val="15"/>
          <w:szCs w:val="15"/>
          <w:color w:val="008000"/>
        </w:rPr>
      </w:pPr>
    </w:p>
    <w:p>
      <w:pPr>
        <w:ind w:left="40" w:right="4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units ("RSUs") vest and become exercisable in 25% installments on each anniversary date of the grant, June 1, 2026, subject to continued service through each applicable vesting date. The reporting person was granted 3,092 RSUs, of which 773 vest on June 1, 2027; 773 vest on June 1, 2028; 773 vest on June 1, 2029; and 773 vest on June 1, 2030.</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of the RSUs represents a contingent right to receive one share of common stock at vesting.</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The Reporting Person does not beneficially own any non-derivative securities at the time of this filing.</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Jared Shure</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06/03/2026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7415" TargetMode="External"/><Relationship Id="rId11" Type="http://schemas.openxmlformats.org/officeDocument/2006/relationships/hyperlink" Target="http://www.sec.gov/cgi-bin/browse-edgar?action=getcompany&amp;CIK=00016393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2026-06-03T16:16:46Z</dcterms:created>
  <dcterms:modified xsi:type="dcterms:W3CDTF">2026-06-03T16:16:46Z</dcterms:modified>
</cp:coreProperties>
</file>